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02D2">
      <w:pPr>
        <w:widowControl w:val="0"/>
        <w:autoSpaceDE w:val="0"/>
        <w:autoSpaceDN w:val="0"/>
        <w:adjustRightInd w:val="0"/>
        <w:spacing w:after="120" w:line="240" w:lineRule="auto"/>
        <w:ind w:right="142"/>
        <w:jc w:val="center"/>
        <w:rPr>
          <w:rFonts w:ascii="Times New Roman CYR" w:hAnsi="Times New Roman CYR" w:cs="Times New Roman CYR"/>
          <w:b/>
          <w:bCs/>
          <w:caps/>
          <w:sz w:val="36"/>
          <w:szCs w:val="36"/>
          <w:lang w:val="uk-UA"/>
        </w:rPr>
      </w:pPr>
      <w:bookmarkStart w:id="0" w:name="_GoBack"/>
      <w:bookmarkEnd w:id="0"/>
      <w:r>
        <w:rPr>
          <w:rFonts w:ascii="Times New Roman CYR" w:hAnsi="Times New Roman CYR" w:cs="Times New Roman CYR"/>
          <w:b/>
          <w:bCs/>
          <w:caps/>
          <w:sz w:val="36"/>
          <w:szCs w:val="36"/>
          <w:lang w:val="uk-UA"/>
        </w:rPr>
        <w:t>ПОСТАНОВА</w:t>
      </w:r>
    </w:p>
    <w:p w:rsidR="00000000" w:rsidRDefault="004F02D2">
      <w:pPr>
        <w:widowControl w:val="0"/>
        <w:autoSpaceDE w:val="0"/>
        <w:autoSpaceDN w:val="0"/>
        <w:adjustRightInd w:val="0"/>
        <w:spacing w:after="120" w:line="240" w:lineRule="auto"/>
        <w:jc w:val="center"/>
        <w:rPr>
          <w:rFonts w:ascii="Times New Roman CYR" w:hAnsi="Times New Roman CYR" w:cs="Times New Roman CYR"/>
          <w:i/>
          <w:iCs/>
          <w:caps/>
          <w:sz w:val="28"/>
          <w:szCs w:val="28"/>
          <w:lang w:val="uk-UA"/>
        </w:rPr>
      </w:pPr>
      <w:r>
        <w:rPr>
          <w:rFonts w:ascii="Times New Roman CYR" w:hAnsi="Times New Roman CYR" w:cs="Times New Roman CYR"/>
          <w:b/>
          <w:bCs/>
          <w:caps/>
          <w:sz w:val="36"/>
          <w:szCs w:val="36"/>
          <w:lang w:val="uk-UA"/>
        </w:rPr>
        <w:t xml:space="preserve">ІМЕНЕМ  УКРАЇНИ </w:t>
      </w:r>
    </w:p>
    <w:p w:rsidR="00000000" w:rsidRDefault="004F02D2">
      <w:pPr>
        <w:widowControl w:val="0"/>
        <w:autoSpaceDE w:val="0"/>
        <w:autoSpaceDN w:val="0"/>
        <w:adjustRightInd w:val="0"/>
        <w:spacing w:after="0" w:line="240" w:lineRule="auto"/>
        <w:rPr>
          <w:rFonts w:ascii="Times New Roman CYR" w:hAnsi="Times New Roman CYR" w:cs="Times New Roman CYR"/>
          <w:b/>
          <w:bCs/>
          <w:i/>
          <w:iCs/>
          <w:sz w:val="20"/>
          <w:szCs w:val="20"/>
          <w:lang w:val="uk-UA"/>
        </w:rPr>
      </w:pPr>
    </w:p>
    <w:p w:rsidR="00000000" w:rsidRDefault="004F02D2">
      <w:pPr>
        <w:widowControl w:val="0"/>
        <w:autoSpaceDE w:val="0"/>
        <w:autoSpaceDN w:val="0"/>
        <w:adjustRightInd w:val="0"/>
        <w:spacing w:after="0" w:line="240" w:lineRule="auto"/>
        <w:rPr>
          <w:rFonts w:ascii="Times New Roman CYR" w:hAnsi="Times New Roman CYR" w:cs="Times New Roman CYR"/>
          <w:b/>
          <w:bCs/>
          <w:sz w:val="27"/>
          <w:szCs w:val="27"/>
          <w:lang w:val="uk-UA"/>
        </w:rPr>
      </w:pPr>
      <w:r>
        <w:rPr>
          <w:rFonts w:ascii="Times New Roman CYR" w:hAnsi="Times New Roman CYR" w:cs="Times New Roman CYR"/>
          <w:b/>
          <w:bCs/>
          <w:sz w:val="27"/>
          <w:szCs w:val="27"/>
          <w:lang w:val="uk-UA"/>
        </w:rPr>
        <w:t>24 червня 2015 року                                                                                      м. Київ</w:t>
      </w:r>
    </w:p>
    <w:p w:rsidR="00000000" w:rsidRDefault="004F02D2">
      <w:pPr>
        <w:widowControl w:val="0"/>
        <w:autoSpaceDE w:val="0"/>
        <w:autoSpaceDN w:val="0"/>
        <w:adjustRightInd w:val="0"/>
        <w:spacing w:after="0" w:line="240" w:lineRule="auto"/>
        <w:jc w:val="center"/>
        <w:rPr>
          <w:rFonts w:ascii="Times New Roman CYR" w:hAnsi="Times New Roman CYR" w:cs="Times New Roman CYR"/>
          <w:b/>
          <w:bCs/>
          <w:sz w:val="27"/>
          <w:szCs w:val="27"/>
          <w:lang w:val="uk-UA"/>
        </w:rPr>
      </w:pPr>
    </w:p>
    <w:p w:rsidR="00000000" w:rsidRDefault="004F02D2">
      <w:pPr>
        <w:widowControl w:val="0"/>
        <w:autoSpaceDE w:val="0"/>
        <w:autoSpaceDN w:val="0"/>
        <w:adjustRightInd w:val="0"/>
        <w:spacing w:after="0" w:line="240" w:lineRule="auto"/>
        <w:jc w:val="center"/>
        <w:rPr>
          <w:rFonts w:ascii="Times New Roman CYR" w:hAnsi="Times New Roman CYR" w:cs="Times New Roman CYR"/>
          <w:b/>
          <w:bCs/>
          <w:sz w:val="27"/>
          <w:szCs w:val="27"/>
          <w:lang w:val="uk-UA"/>
        </w:rPr>
      </w:pPr>
      <w:r>
        <w:rPr>
          <w:rFonts w:ascii="Times New Roman CYR" w:hAnsi="Times New Roman CYR" w:cs="Times New Roman CYR"/>
          <w:b/>
          <w:bCs/>
          <w:sz w:val="27"/>
          <w:szCs w:val="27"/>
          <w:lang w:val="uk-UA"/>
        </w:rPr>
        <w:t>Судова палата у цивільних справах</w:t>
      </w:r>
    </w:p>
    <w:p w:rsidR="00000000" w:rsidRDefault="004F02D2">
      <w:pPr>
        <w:widowControl w:val="0"/>
        <w:autoSpaceDE w:val="0"/>
        <w:autoSpaceDN w:val="0"/>
        <w:adjustRightInd w:val="0"/>
        <w:spacing w:after="0" w:line="240" w:lineRule="auto"/>
        <w:jc w:val="center"/>
        <w:rPr>
          <w:rFonts w:ascii="Times New Roman CYR" w:hAnsi="Times New Roman CYR" w:cs="Times New Roman CYR"/>
          <w:b/>
          <w:bCs/>
          <w:sz w:val="27"/>
          <w:szCs w:val="27"/>
          <w:lang w:val="uk-UA"/>
        </w:rPr>
      </w:pPr>
      <w:r>
        <w:rPr>
          <w:rFonts w:ascii="Times New Roman CYR" w:hAnsi="Times New Roman CYR" w:cs="Times New Roman CYR"/>
          <w:b/>
          <w:bCs/>
          <w:sz w:val="27"/>
          <w:szCs w:val="27"/>
          <w:lang w:val="uk-UA"/>
        </w:rPr>
        <w:t>Верховного Суду України в складі:</w:t>
      </w:r>
    </w:p>
    <w:p w:rsidR="00000000" w:rsidRDefault="004F02D2">
      <w:pPr>
        <w:widowControl w:val="0"/>
        <w:autoSpaceDE w:val="0"/>
        <w:autoSpaceDN w:val="0"/>
        <w:adjustRightInd w:val="0"/>
        <w:spacing w:after="0" w:line="240" w:lineRule="auto"/>
        <w:jc w:val="center"/>
        <w:rPr>
          <w:rFonts w:ascii="Times New Roman CYR" w:hAnsi="Times New Roman CYR" w:cs="Times New Roman CYR"/>
          <w:b/>
          <w:bCs/>
          <w:sz w:val="27"/>
          <w:szCs w:val="27"/>
          <w:lang w:val="uk-UA"/>
        </w:rPr>
      </w:pPr>
    </w:p>
    <w:tbl>
      <w:tblPr>
        <w:tblW w:w="0" w:type="auto"/>
        <w:tblInd w:w="108" w:type="dxa"/>
        <w:tblLayout w:type="fixed"/>
        <w:tblLook w:val="0000" w:firstRow="0" w:lastRow="0" w:firstColumn="0" w:lastColumn="0" w:noHBand="0" w:noVBand="0"/>
      </w:tblPr>
      <w:tblGrid>
        <w:gridCol w:w="1985"/>
        <w:gridCol w:w="2560"/>
        <w:gridCol w:w="2480"/>
        <w:gridCol w:w="2516"/>
      </w:tblGrid>
      <w:tr w:rsidR="00000000">
        <w:tblPrEx>
          <w:tblCellMar>
            <w:top w:w="0" w:type="dxa"/>
            <w:bottom w:w="0" w:type="dxa"/>
          </w:tblCellMar>
        </w:tblPrEx>
        <w:tc>
          <w:tcPr>
            <w:tcW w:w="1985"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головуючого</w:t>
            </w:r>
          </w:p>
        </w:tc>
        <w:tc>
          <w:tcPr>
            <w:tcW w:w="256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Сімоненко В.М.</w:t>
            </w:r>
          </w:p>
        </w:tc>
        <w:tc>
          <w:tcPr>
            <w:tcW w:w="248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p>
        </w:tc>
        <w:tc>
          <w:tcPr>
            <w:tcW w:w="2516"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p>
        </w:tc>
      </w:tr>
      <w:tr w:rsidR="00000000">
        <w:tblPrEx>
          <w:tblCellMar>
            <w:top w:w="0" w:type="dxa"/>
            <w:bottom w:w="0" w:type="dxa"/>
          </w:tblCellMar>
        </w:tblPrEx>
        <w:tc>
          <w:tcPr>
            <w:tcW w:w="1985"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суддів:</w:t>
            </w:r>
          </w:p>
        </w:tc>
        <w:tc>
          <w:tcPr>
            <w:tcW w:w="256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Григор’</w:t>
            </w:r>
            <w:r>
              <w:rPr>
                <w:rFonts w:ascii="Times New Roman CYR" w:hAnsi="Times New Roman CYR" w:cs="Times New Roman CYR"/>
                <w:b/>
                <w:bCs/>
                <w:sz w:val="28"/>
                <w:szCs w:val="28"/>
                <w:lang w:val="uk-UA"/>
              </w:rPr>
              <w:t>євої Л.І.,</w:t>
            </w:r>
          </w:p>
        </w:tc>
        <w:tc>
          <w:tcPr>
            <w:tcW w:w="248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Лященко Н.П.,</w:t>
            </w:r>
          </w:p>
        </w:tc>
        <w:tc>
          <w:tcPr>
            <w:tcW w:w="2516"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Сеніна Ю.Л.,</w:t>
            </w:r>
          </w:p>
        </w:tc>
      </w:tr>
      <w:tr w:rsidR="00000000">
        <w:tblPrEx>
          <w:tblCellMar>
            <w:top w:w="0" w:type="dxa"/>
            <w:bottom w:w="0" w:type="dxa"/>
          </w:tblCellMar>
        </w:tblPrEx>
        <w:tc>
          <w:tcPr>
            <w:tcW w:w="1985"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sz w:val="28"/>
                <w:szCs w:val="28"/>
                <w:lang w:val="uk-UA"/>
              </w:rPr>
            </w:pPr>
          </w:p>
        </w:tc>
        <w:tc>
          <w:tcPr>
            <w:tcW w:w="256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Гуменюка В.І.,</w:t>
            </w:r>
          </w:p>
        </w:tc>
        <w:tc>
          <w:tcPr>
            <w:tcW w:w="248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Романюка</w:t>
            </w:r>
            <w:r>
              <w:rPr>
                <w:rFonts w:ascii="Times NR Cyr MT" w:hAnsi="Times NR Cyr MT" w:cs="Times NR Cyr MT"/>
                <w:b/>
                <w:bCs/>
                <w:sz w:val="28"/>
                <w:szCs w:val="28"/>
                <w:lang w:val="en-US"/>
              </w:rPr>
              <w:t xml:space="preserve"> </w:t>
            </w:r>
            <w:r>
              <w:rPr>
                <w:rFonts w:ascii="Times New Roman CYR" w:hAnsi="Times New Roman CYR" w:cs="Times New Roman CYR"/>
                <w:b/>
                <w:bCs/>
                <w:sz w:val="28"/>
                <w:szCs w:val="28"/>
                <w:lang w:val="uk-UA"/>
              </w:rPr>
              <w:t>Я</w:t>
            </w:r>
            <w:r>
              <w:rPr>
                <w:rFonts w:ascii="Times NR Cyr MT" w:hAnsi="Times NR Cyr MT" w:cs="Times NR Cyr MT"/>
                <w:b/>
                <w:bCs/>
                <w:sz w:val="28"/>
                <w:szCs w:val="28"/>
                <w:lang w:val="en-US"/>
              </w:rPr>
              <w:t>.</w:t>
            </w:r>
            <w:r>
              <w:rPr>
                <w:rFonts w:ascii="Times New Roman CYR" w:hAnsi="Times New Roman CYR" w:cs="Times New Roman CYR"/>
                <w:b/>
                <w:bCs/>
                <w:sz w:val="28"/>
                <w:szCs w:val="28"/>
                <w:lang w:val="uk-UA"/>
              </w:rPr>
              <w:t>М</w:t>
            </w:r>
            <w:r>
              <w:rPr>
                <w:rFonts w:ascii="Times NR Cyr MT" w:hAnsi="Times NR Cyr MT" w:cs="Times NR Cyr MT"/>
                <w:b/>
                <w:bCs/>
                <w:sz w:val="28"/>
                <w:szCs w:val="28"/>
                <w:lang w:val="en-US"/>
              </w:rPr>
              <w:t>.,</w:t>
            </w:r>
          </w:p>
        </w:tc>
        <w:tc>
          <w:tcPr>
            <w:tcW w:w="2516"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Яреми А.Г.,</w:t>
            </w:r>
          </w:p>
        </w:tc>
      </w:tr>
      <w:tr w:rsidR="00000000">
        <w:tblPrEx>
          <w:tblCellMar>
            <w:top w:w="0" w:type="dxa"/>
            <w:bottom w:w="0" w:type="dxa"/>
          </w:tblCellMar>
        </w:tblPrEx>
        <w:tc>
          <w:tcPr>
            <w:tcW w:w="1985"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sz w:val="28"/>
                <w:szCs w:val="28"/>
                <w:lang w:val="uk-UA"/>
              </w:rPr>
            </w:pPr>
          </w:p>
        </w:tc>
        <w:tc>
          <w:tcPr>
            <w:tcW w:w="256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Охрімчук Л.І.,</w:t>
            </w:r>
          </w:p>
        </w:tc>
        <w:tc>
          <w:tcPr>
            <w:tcW w:w="248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p>
        </w:tc>
        <w:tc>
          <w:tcPr>
            <w:tcW w:w="2516"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p>
        </w:tc>
      </w:tr>
      <w:tr w:rsidR="00000000">
        <w:tblPrEx>
          <w:tblCellMar>
            <w:top w:w="0" w:type="dxa"/>
            <w:bottom w:w="0" w:type="dxa"/>
          </w:tblCellMar>
        </w:tblPrEx>
        <w:tc>
          <w:tcPr>
            <w:tcW w:w="1985"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sz w:val="28"/>
                <w:szCs w:val="28"/>
                <w:lang w:val="uk-UA"/>
              </w:rPr>
            </w:pPr>
          </w:p>
        </w:tc>
        <w:tc>
          <w:tcPr>
            <w:tcW w:w="2560"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p>
        </w:tc>
        <w:tc>
          <w:tcPr>
            <w:tcW w:w="2480" w:type="dxa"/>
            <w:tcBorders>
              <w:top w:val="nil"/>
              <w:left w:val="nil"/>
              <w:bottom w:val="nil"/>
              <w:right w:val="nil"/>
            </w:tcBorders>
          </w:tcPr>
          <w:p w:rsidR="00000000" w:rsidRDefault="004F02D2">
            <w:pPr>
              <w:widowControl w:val="0"/>
              <w:autoSpaceDE w:val="0"/>
              <w:autoSpaceDN w:val="0"/>
              <w:adjustRightInd w:val="0"/>
              <w:spacing w:after="0" w:line="360" w:lineRule="exact"/>
              <w:ind w:right="-176" w:firstLine="15"/>
              <w:rPr>
                <w:rFonts w:ascii="Times New Roman CYR" w:hAnsi="Times New Roman CYR" w:cs="Times New Roman CYR"/>
                <w:b/>
                <w:bCs/>
                <w:sz w:val="28"/>
                <w:szCs w:val="28"/>
                <w:lang w:val="uk-UA"/>
              </w:rPr>
            </w:pPr>
          </w:p>
        </w:tc>
        <w:tc>
          <w:tcPr>
            <w:tcW w:w="2516" w:type="dxa"/>
            <w:tcBorders>
              <w:top w:val="nil"/>
              <w:left w:val="nil"/>
              <w:bottom w:val="nil"/>
              <w:right w:val="nil"/>
            </w:tcBorders>
          </w:tcPr>
          <w:p w:rsidR="00000000" w:rsidRDefault="004F02D2">
            <w:pPr>
              <w:widowControl w:val="0"/>
              <w:autoSpaceDE w:val="0"/>
              <w:autoSpaceDN w:val="0"/>
              <w:adjustRightInd w:val="0"/>
              <w:spacing w:after="0" w:line="360" w:lineRule="exact"/>
              <w:ind w:firstLine="15"/>
              <w:rPr>
                <w:rFonts w:ascii="Times New Roman CYR" w:hAnsi="Times New Roman CYR" w:cs="Times New Roman CYR"/>
                <w:b/>
                <w:bCs/>
                <w:sz w:val="28"/>
                <w:szCs w:val="28"/>
                <w:lang w:val="uk-UA"/>
              </w:rPr>
            </w:pPr>
          </w:p>
        </w:tc>
      </w:tr>
    </w:tbl>
    <w:p w:rsidR="00000000" w:rsidRDefault="004F02D2">
      <w:pPr>
        <w:widowControl w:val="0"/>
        <w:tabs>
          <w:tab w:val="left" w:pos="3300"/>
        </w:tabs>
        <w:autoSpaceDE w:val="0"/>
        <w:autoSpaceDN w:val="0"/>
        <w:adjustRightInd w:val="0"/>
        <w:spacing w:after="0" w:line="240" w:lineRule="auto"/>
        <w:ind w:left="57" w:right="57"/>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розглянувши в судовому засіданні справу за позовом ОСОБА_1, ОСОБА_2, ОСОБА_3 до товариства з обмеженою відповідальністю «Форум-Інвест» про встановлен</w:t>
      </w:r>
      <w:r>
        <w:rPr>
          <w:rFonts w:ascii="Times New Roman CYR" w:hAnsi="Times New Roman CYR" w:cs="Times New Roman CYR"/>
          <w:sz w:val="28"/>
          <w:szCs w:val="28"/>
          <w:lang w:val="uk-UA"/>
        </w:rPr>
        <w:t xml:space="preserve">ня факту та зобов’язання вчинити дії за заявою ОСОБА_1, ОСОБА_2, ОСОБА_3 про перегляд Верховним Судом України ухвали Вищого спеціалізованого суду України з розгляду цивільних і кримінальних справ від 25 лютого 2015 року, </w:t>
      </w:r>
    </w:p>
    <w:p w:rsidR="00000000" w:rsidRDefault="004F02D2">
      <w:pPr>
        <w:widowControl w:val="0"/>
        <w:autoSpaceDE w:val="0"/>
        <w:autoSpaceDN w:val="0"/>
        <w:adjustRightInd w:val="0"/>
        <w:spacing w:before="120" w:after="120" w:line="240" w:lineRule="auto"/>
        <w:ind w:left="57" w:right="57"/>
        <w:jc w:val="center"/>
        <w:rPr>
          <w:rFonts w:ascii="Times New Roman CYR" w:hAnsi="Times New Roman CYR" w:cs="Times New Roman CYR"/>
          <w:b/>
          <w:bCs/>
          <w:sz w:val="27"/>
          <w:szCs w:val="27"/>
          <w:lang w:val="uk-UA"/>
        </w:rPr>
      </w:pPr>
      <w:r>
        <w:rPr>
          <w:rFonts w:ascii="Times New Roman CYR" w:hAnsi="Times New Roman CYR" w:cs="Times New Roman CYR"/>
          <w:b/>
          <w:bCs/>
          <w:sz w:val="27"/>
          <w:szCs w:val="27"/>
          <w:lang w:val="uk-UA"/>
        </w:rPr>
        <w:t>в с т а н о в и л а:</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ОСОБА_1, ОСОБ</w:t>
      </w:r>
      <w:r>
        <w:rPr>
          <w:rFonts w:ascii="Times New Roman CYR" w:hAnsi="Times New Roman CYR" w:cs="Times New Roman CYR"/>
          <w:sz w:val="28"/>
          <w:szCs w:val="28"/>
          <w:lang w:val="uk-UA"/>
        </w:rPr>
        <w:t>А_2 та ОСОБА_3 звернулись до Голосіївського районного суду міста Києва  із зазначеним позовом.</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обґрунтування позовних вимог вони зазначали, що 10 січня           2005 року між ними та товариством з обмеженою відповідальністю            «Форум-Інвест» (д</w:t>
      </w:r>
      <w:r>
        <w:rPr>
          <w:rFonts w:ascii="Times New Roman CYR" w:hAnsi="Times New Roman CYR" w:cs="Times New Roman CYR"/>
          <w:sz w:val="28"/>
          <w:szCs w:val="28"/>
          <w:lang w:val="uk-UA"/>
        </w:rPr>
        <w:t>алі – ТОВ «Форум-Інвест») укладено договір про залучення інвестиції в будівництво житла, за умовами якого об’єктом інвестування є житлове приміщення загальною площею S</w:t>
      </w:r>
      <w:r>
        <w:rPr>
          <w:rFonts w:ascii="Times New Roman CYR" w:hAnsi="Times New Roman CYR" w:cs="Times New Roman CYR"/>
          <w:sz w:val="28"/>
          <w:szCs w:val="28"/>
        </w:rPr>
        <w:t xml:space="preserve">_1 </w:t>
      </w:r>
      <w:r>
        <w:rPr>
          <w:rFonts w:ascii="Times New Roman CYR" w:hAnsi="Times New Roman CYR" w:cs="Times New Roman CYR"/>
          <w:sz w:val="28"/>
          <w:szCs w:val="28"/>
          <w:lang w:val="uk-UA"/>
        </w:rPr>
        <w:t>кв. м за</w:t>
      </w:r>
      <w:r>
        <w:rPr>
          <w:rFonts w:ascii="Times New Roman CYR" w:hAnsi="Times New Roman CYR" w:cs="Times New Roman CYR"/>
          <w:sz w:val="28"/>
          <w:szCs w:val="28"/>
        </w:rPr>
        <w:t xml:space="preserve"> АДРЕСА_1</w:t>
      </w:r>
      <w:r>
        <w:rPr>
          <w:rFonts w:ascii="Times New Roman CYR" w:hAnsi="Times New Roman CYR" w:cs="Times New Roman CYR"/>
          <w:sz w:val="28"/>
          <w:szCs w:val="28"/>
          <w:lang w:val="uk-UA"/>
        </w:rPr>
        <w:t>. У подальшому було закінчено будівництво та визнано готовим до експл</w:t>
      </w:r>
      <w:r>
        <w:rPr>
          <w:rFonts w:ascii="Times New Roman CYR" w:hAnsi="Times New Roman CYR" w:cs="Times New Roman CYR"/>
          <w:sz w:val="28"/>
          <w:szCs w:val="28"/>
          <w:lang w:val="uk-UA"/>
        </w:rPr>
        <w:t xml:space="preserve">уатації вищезазначений житловий будинок на </w:t>
      </w:r>
      <w:r>
        <w:rPr>
          <w:rFonts w:ascii="Times New Roman CYR" w:hAnsi="Times New Roman CYR" w:cs="Times New Roman CYR"/>
          <w:sz w:val="28"/>
          <w:szCs w:val="28"/>
        </w:rPr>
        <w:t>АДРЕСА_1</w:t>
      </w:r>
      <w:r>
        <w:rPr>
          <w:rFonts w:ascii="Times New Roman CYR" w:hAnsi="Times New Roman CYR" w:cs="Times New Roman CYR"/>
          <w:sz w:val="28"/>
          <w:szCs w:val="28"/>
          <w:lang w:val="uk-UA"/>
        </w:rPr>
        <w:t xml:space="preserve">. Листами від 12 жовтня 2012 року, 5 червня 2013 року, 13 серпня 2013 року та                      11 листопада 2013 року ТОВ «Форум-Інвест» інформувало позивачів, що за результатами проведеного Київським </w:t>
      </w:r>
      <w:r>
        <w:rPr>
          <w:rFonts w:ascii="Times New Roman CYR" w:hAnsi="Times New Roman CYR" w:cs="Times New Roman CYR"/>
          <w:sz w:val="28"/>
          <w:szCs w:val="28"/>
          <w:lang w:val="uk-UA"/>
        </w:rPr>
        <w:t>міським бюро технічної інвентаризації та реєстрації права власності на об’єкти нерухомого майна                         (далі – Київським МБТІ) обміру і виданого технічного паспорта загальна площа квартири НОМЕР_1 склала S_2 кв. м, у зв’язку з чим позивачі</w:t>
      </w:r>
      <w:r>
        <w:rPr>
          <w:rFonts w:ascii="Times New Roman CYR" w:hAnsi="Times New Roman CYR" w:cs="Times New Roman CYR"/>
          <w:sz w:val="28"/>
          <w:szCs w:val="28"/>
          <w:lang w:val="uk-UA"/>
        </w:rPr>
        <w:t xml:space="preserve"> повинні оплатити збільшення площі на додаткові S_3 кв. м у сумі 238 тис. 68 грн             1 коп. Позивачі зазначають, що вартість надлишкового 1 кв. м має складати  3 тис. 400 грн, а тому ними було повністю доплачено збільшення площі на S_3 кв. м вартіс</w:t>
      </w:r>
      <w:r>
        <w:rPr>
          <w:rFonts w:ascii="Times New Roman CYR" w:hAnsi="Times New Roman CYR" w:cs="Times New Roman CYR"/>
          <w:sz w:val="28"/>
          <w:szCs w:val="28"/>
          <w:lang w:val="uk-UA"/>
        </w:rPr>
        <w:t xml:space="preserve">тю 43 тис. 588 грн 99 коп. Проте відповідач відмовляє їм у видачі </w:t>
      </w:r>
      <w:r>
        <w:rPr>
          <w:rFonts w:ascii="Times New Roman CYR" w:hAnsi="Times New Roman CYR" w:cs="Times New Roman CYR"/>
          <w:sz w:val="28"/>
          <w:szCs w:val="28"/>
          <w:lang w:val="uk-UA"/>
        </w:rPr>
        <w:lastRenderedPageBreak/>
        <w:t>документів для оформлення права власності на квартиру та пропонує доплатити кошти за S_3 кв. м вартістю  21 тис. 800 грн за 1 кв. м.</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Рішенням Голосіївського районного суду м. Києва від 6 сер</w:t>
      </w:r>
      <w:r>
        <w:rPr>
          <w:rFonts w:ascii="Times New Roman CYR" w:hAnsi="Times New Roman CYR" w:cs="Times New Roman CYR"/>
          <w:sz w:val="28"/>
          <w:szCs w:val="28"/>
          <w:lang w:val="uk-UA"/>
        </w:rPr>
        <w:t xml:space="preserve">пня        2014 року в задоволенні позову відмовлено. </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Рішенням апеляційного суду м. Києва від 8 жовтня 2014 року рішення суду першої інстанції в частині вирішення вимог про зобов’язання надати документи для реєстрації права власності скасовано та ухвалено</w:t>
      </w:r>
      <w:r>
        <w:rPr>
          <w:rFonts w:ascii="Times New Roman CYR" w:hAnsi="Times New Roman CYR" w:cs="Times New Roman CYR"/>
          <w:sz w:val="28"/>
          <w:szCs w:val="28"/>
          <w:lang w:val="uk-UA"/>
        </w:rPr>
        <w:t xml:space="preserve"> нове рішення про задоволення позовних вимог у цій частині. Зобов’язано         ТОВ «Форум-Інвест» надати ОСОБА_2, ОСОБА_1 та ОСОБА_3 всі необхідні документи для реєстрації права власності на квартиру НОМЕР_1 у будинку АДРЕСА_1, а саме: довідку (виписку) і</w:t>
      </w:r>
      <w:r>
        <w:rPr>
          <w:rFonts w:ascii="Times New Roman CYR" w:hAnsi="Times New Roman CYR" w:cs="Times New Roman CYR"/>
          <w:sz w:val="28"/>
          <w:szCs w:val="28"/>
          <w:lang w:val="uk-UA"/>
        </w:rPr>
        <w:t>з переліку осіб, які брали участь в інвестуванні (фінансуванні) об’єкта будівництва та за якими здійснюється державна реєстрація прав про участь ОСОБА_2, ОСОБА_1 і ОСОБА_3 в інвестуванні об’єкта будівництва; завірену копію документа, що посвідчує право вла</w:t>
      </w:r>
      <w:r>
        <w:rPr>
          <w:rFonts w:ascii="Times New Roman CYR" w:hAnsi="Times New Roman CYR" w:cs="Times New Roman CYR"/>
          <w:sz w:val="28"/>
          <w:szCs w:val="28"/>
          <w:lang w:val="uk-UA"/>
        </w:rPr>
        <w:t>сності на земельну ділянку, на якій розташовано будинок АДРЕСА_1; завірену копію сертифіката серії НОМЕР_2; завірену копію розпорядження Голосіївської районної в м. Києві державної адміністрації від 28 березня  2012 року НОМЕР_3 про присвоєння поштової адр</w:t>
      </w:r>
      <w:r>
        <w:rPr>
          <w:rFonts w:ascii="Times New Roman CYR" w:hAnsi="Times New Roman CYR" w:cs="Times New Roman CYR"/>
          <w:sz w:val="28"/>
          <w:szCs w:val="28"/>
          <w:lang w:val="uk-UA"/>
        </w:rPr>
        <w:t>еси житловому будинку за вказаною адресою; довідку про право на набуття ОСОБА_2, ОСОБА_1, ОСОБА_3 у власність спірної квартири. Вирішено питання про розподіл судових витрат. В іншій частині рішення суду залишено без змін.</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Ухвалою Вищого спеціалізованого су</w:t>
      </w:r>
      <w:r>
        <w:rPr>
          <w:rFonts w:ascii="Times New Roman CYR" w:hAnsi="Times New Roman CYR" w:cs="Times New Roman CYR"/>
          <w:sz w:val="28"/>
          <w:szCs w:val="28"/>
          <w:lang w:val="uk-UA"/>
        </w:rPr>
        <w:t xml:space="preserve">ду України з розгляду цивільних і кримінальних справ від 25 лютого 2015 року касаційну скаргу                         ТОВ «Форум-Інвест» задоволено, рішення апеляційного суду скасовано та залишено без змін рішення суду першої інстанції. </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поданій до Верхо</w:t>
      </w:r>
      <w:r>
        <w:rPr>
          <w:rFonts w:ascii="Times New Roman CYR" w:hAnsi="Times New Roman CYR" w:cs="Times New Roman CYR"/>
          <w:sz w:val="28"/>
          <w:szCs w:val="28"/>
          <w:lang w:val="uk-UA"/>
        </w:rPr>
        <w:t>вного Суду України заяві про перегляд ухвали Вищого спеціалізованого суду України з розгляду цивільних і кримінальних справ від 25 лютого 2015 року ОСОБА_2, ОСОБА_1 та ОСОБА_3 просять скасувати ухвалене у справі рішення суду касаційної інстанції та залишит</w:t>
      </w:r>
      <w:r>
        <w:rPr>
          <w:rFonts w:ascii="Times New Roman CYR" w:hAnsi="Times New Roman CYR" w:cs="Times New Roman CYR"/>
          <w:sz w:val="28"/>
          <w:szCs w:val="28"/>
          <w:lang w:val="uk-UA"/>
        </w:rPr>
        <w:t>и без змін рішення апеляційного суду з підстави неоднакового застосування судом (судами) касаційної інстанції статей 11 та 509 Цивільного кодексу України (далі – ЦК України).</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Для прикладу наявності зазначеної підстави подання заяви про перегляд судового рі</w:t>
      </w:r>
      <w:r>
        <w:rPr>
          <w:rFonts w:ascii="Times New Roman CYR" w:hAnsi="Times New Roman CYR" w:cs="Times New Roman CYR"/>
          <w:sz w:val="28"/>
          <w:szCs w:val="28"/>
          <w:lang w:val="uk-UA"/>
        </w:rPr>
        <w:t>шення ОСОБА_2, ОСОБА_1 та ОСОБА_3 посилаються на ухвали Вищого спеціалізованого суду України з розгляду цивільних і кримінальних справ від 26 вересня 2013 року, 20 листопада 2013 року,             13 лютого 2014 року, 15 травня 2014 року, 21 травня 2014 ро</w:t>
      </w:r>
      <w:r>
        <w:rPr>
          <w:rFonts w:ascii="Times New Roman CYR" w:hAnsi="Times New Roman CYR" w:cs="Times New Roman CYR"/>
          <w:sz w:val="28"/>
          <w:szCs w:val="28"/>
          <w:lang w:val="uk-UA"/>
        </w:rPr>
        <w:t>ку, 29 жовтня 2014 року, 19 грудня 2014 року та 12 лютого 2015 року.</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Заслухавши доповідь судді, перевіривши наведені в заяві доводи, Судова палата у цивільних справах Верховного Суду України дійшла висновку про те, що заява підлягає частковому задоволенню </w:t>
      </w:r>
      <w:r>
        <w:rPr>
          <w:rFonts w:ascii="Times New Roman CYR" w:hAnsi="Times New Roman CYR" w:cs="Times New Roman CYR"/>
          <w:sz w:val="28"/>
          <w:szCs w:val="28"/>
          <w:lang w:val="uk-UA"/>
        </w:rPr>
        <w:t>з таких підстав.</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статті 353 ЦПК України Верховний Суд України </w:t>
      </w:r>
      <w:r>
        <w:rPr>
          <w:rFonts w:ascii="Times New Roman CYR" w:hAnsi="Times New Roman CYR" w:cs="Times New Roman CYR"/>
          <w:sz w:val="28"/>
          <w:szCs w:val="28"/>
          <w:lang w:val="uk-UA"/>
        </w:rPr>
        <w:lastRenderedPageBreak/>
        <w:t>переглядає судові рішення у цивільних справах виключно з підстав і в порядку, встановлених цим Кодексом.</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положеннями пункту 1 частини першої статті 355 ЦПК України підставою для</w:t>
      </w:r>
      <w:r>
        <w:rPr>
          <w:rFonts w:ascii="Times New Roman CYR" w:hAnsi="Times New Roman CYR" w:cs="Times New Roman CYR"/>
          <w:sz w:val="28"/>
          <w:szCs w:val="28"/>
          <w:lang w:val="uk-UA"/>
        </w:rPr>
        <w:t xml:space="preserve"> подання заяви про перегляд судових рішень у цивільних справах є неоднакове застосування судом (судами) касаційної інстанції одних і тих самих норм матеріального права, що спричинило ухвалення різних за змістом судових рішень у подібних правовідносинах.</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w:t>
      </w:r>
      <w:r>
        <w:rPr>
          <w:rFonts w:ascii="Times New Roman CYR" w:hAnsi="Times New Roman CYR" w:cs="Times New Roman CYR"/>
          <w:sz w:val="28"/>
          <w:szCs w:val="28"/>
          <w:lang w:val="uk-UA"/>
        </w:rPr>
        <w:t>справі, рішення в якій переглядається, судами встановлено, що відповідно до договору про будівництво житлового будинку на                   АДРЕСА_1 від 6 червня 2002 року НОМЕР_4, укладеного між Національною академією наук України як замовником та державн</w:t>
      </w:r>
      <w:r>
        <w:rPr>
          <w:rFonts w:ascii="Times New Roman CYR" w:hAnsi="Times New Roman CYR" w:cs="Times New Roman CYR"/>
          <w:sz w:val="28"/>
          <w:szCs w:val="28"/>
          <w:lang w:val="uk-UA"/>
        </w:rPr>
        <w:t>им підприємством «Житлоінбуд» при Управлінні державної охорони України (далі – ДП «Житлоінбуд»), останнє зобов'язалося як інвестор-генпідрядник забезпечити будівництво та введення в експлуатацію житлового будинку з усією інфраструктурою на земельній ділянц</w:t>
      </w:r>
      <w:r>
        <w:rPr>
          <w:rFonts w:ascii="Times New Roman CYR" w:hAnsi="Times New Roman CYR" w:cs="Times New Roman CYR"/>
          <w:sz w:val="28"/>
          <w:szCs w:val="28"/>
          <w:lang w:val="uk-UA"/>
        </w:rPr>
        <w:t>і за вказаною адресою.</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подальшому 30 травня 2003 року між ДП «Житлоінбуд» як довірителем та ТОВ «Форум-Інвест» як повіреним було укладено договір доручення про залучення інвестицій у будівництво житла, нежитлових приміщень та паркінгу НОМЕР_5, згідно з я</w:t>
      </w:r>
      <w:r>
        <w:rPr>
          <w:rFonts w:ascii="Times New Roman CYR" w:hAnsi="Times New Roman CYR" w:cs="Times New Roman CYR"/>
          <w:sz w:val="28"/>
          <w:szCs w:val="28"/>
          <w:lang w:val="uk-UA"/>
        </w:rPr>
        <w:t>кими повірений зобов'язався за дорученням довірителя здійснювати від імені та в інтересах останнього пошук інвесторів – фізичних (юридичних) осіб для залучення інвестицій для будівництва об'єктів нерухомості (житла, нежитлових приміщень, паркінгу) за вказа</w:t>
      </w:r>
      <w:r>
        <w:rPr>
          <w:rFonts w:ascii="Times New Roman CYR" w:hAnsi="Times New Roman CYR" w:cs="Times New Roman CYR"/>
          <w:sz w:val="28"/>
          <w:szCs w:val="28"/>
          <w:lang w:val="uk-UA"/>
        </w:rPr>
        <w:t>ною вище адресою з метою подальшого оформлення інвесторами права власності на об'єкти нерухомості. Повірений в інтересах довірителя укладає договори з фізичними (юридичними) особами. Повірений перераховує грошові кошти довірителю, отримані від інвесторів –</w:t>
      </w:r>
      <w:r>
        <w:rPr>
          <w:rFonts w:ascii="Times New Roman CYR" w:hAnsi="Times New Roman CYR" w:cs="Times New Roman CYR"/>
          <w:sz w:val="28"/>
          <w:szCs w:val="28"/>
          <w:lang w:val="uk-UA"/>
        </w:rPr>
        <w:t xml:space="preserve"> фізичних (юридичних) осіб.</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10 січня 2005 року між ТОВ «Форум-Інвест» та ОСОБА_1, яка діяла від свого імені та від імені своєї неповнолітньої дитини ОСОБА_2, ОСОБА_3 укладено договір НОМЕР_6 про залучення інвестицій у будівництво житла в рівних частинах.</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w:t>
      </w:r>
      <w:r>
        <w:rPr>
          <w:rFonts w:ascii="Times New Roman CYR" w:hAnsi="Times New Roman CYR" w:cs="Times New Roman CYR"/>
          <w:sz w:val="28"/>
          <w:szCs w:val="28"/>
          <w:lang w:val="uk-UA"/>
        </w:rPr>
        <w:t xml:space="preserve">ідповідно до п. 1.2 договору </w:t>
      </w:r>
      <w:r>
        <w:rPr>
          <w:rFonts w:ascii="Times New Roman CYR" w:hAnsi="Times New Roman CYR" w:cs="Times New Roman CYR"/>
          <w:sz w:val="28"/>
          <w:szCs w:val="28"/>
        </w:rPr>
        <w:t>НОМЕР_</w:t>
      </w:r>
      <w:r>
        <w:rPr>
          <w:rFonts w:ascii="Times New Roman CYR" w:hAnsi="Times New Roman CYR" w:cs="Times New Roman CYR"/>
          <w:sz w:val="28"/>
          <w:szCs w:val="28"/>
          <w:lang w:val="uk-UA"/>
        </w:rPr>
        <w:t xml:space="preserve">6 про залучення інвестицій у будівництво житла від 10 січня 2005 року об'єктом інвестування є трикімнатна квартира </w:t>
      </w:r>
      <w:r>
        <w:rPr>
          <w:rFonts w:ascii="Times New Roman CYR" w:hAnsi="Times New Roman CYR" w:cs="Times New Roman CYR"/>
          <w:sz w:val="28"/>
          <w:szCs w:val="28"/>
        </w:rPr>
        <w:t>НОМЕР_</w:t>
      </w:r>
      <w:r>
        <w:rPr>
          <w:rFonts w:ascii="Times New Roman CYR" w:hAnsi="Times New Roman CYR" w:cs="Times New Roman CYR"/>
          <w:sz w:val="28"/>
          <w:szCs w:val="28"/>
          <w:lang w:val="uk-UA"/>
        </w:rPr>
        <w:t>1 загальною площею S_1 кв.м за АДРЕСА_1.</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січні 2005 року інвесторами було проінвестовано S_1 кв.м </w:t>
      </w:r>
      <w:r>
        <w:rPr>
          <w:rFonts w:ascii="Times New Roman CYR" w:hAnsi="Times New Roman CYR" w:cs="Times New Roman CYR"/>
          <w:sz w:val="28"/>
          <w:szCs w:val="28"/>
          <w:lang w:val="uk-UA"/>
        </w:rPr>
        <w:t xml:space="preserve">квартири в сумі 314 тис. 772 грн. </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Розпорядженням від 28 березня 2012 року </w:t>
      </w:r>
      <w:r>
        <w:rPr>
          <w:rFonts w:ascii="Times New Roman CYR" w:hAnsi="Times New Roman CYR" w:cs="Times New Roman CYR"/>
          <w:sz w:val="28"/>
          <w:szCs w:val="28"/>
        </w:rPr>
        <w:t>НОМЕР_</w:t>
      </w:r>
      <w:r>
        <w:rPr>
          <w:rFonts w:ascii="Times New Roman CYR" w:hAnsi="Times New Roman CYR" w:cs="Times New Roman CYR"/>
          <w:sz w:val="28"/>
          <w:szCs w:val="28"/>
          <w:lang w:val="uk-UA"/>
        </w:rPr>
        <w:t>3 Голосіївської районної в м. Києві державної адміністрації було присвоєно поштову адресу зазначеному будинку.</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22 квітня 2013 Київським МБТІ було виготовлено технічний паспорт</w:t>
      </w:r>
      <w:r>
        <w:rPr>
          <w:rFonts w:ascii="Times New Roman CYR" w:hAnsi="Times New Roman CYR" w:cs="Times New Roman CYR"/>
          <w:sz w:val="28"/>
          <w:szCs w:val="28"/>
          <w:lang w:val="uk-UA"/>
        </w:rPr>
        <w:t xml:space="preserve"> на об'єкт інвестування, згідно з яким загальна площа квартири становила    S</w:t>
      </w:r>
      <w:r>
        <w:rPr>
          <w:rFonts w:ascii="Times New Roman CYR" w:hAnsi="Times New Roman CYR" w:cs="Times New Roman CYR"/>
          <w:sz w:val="28"/>
          <w:szCs w:val="28"/>
        </w:rPr>
        <w:t xml:space="preserve">_2 </w:t>
      </w:r>
      <w:r>
        <w:rPr>
          <w:rFonts w:ascii="Times New Roman CYR" w:hAnsi="Times New Roman CYR" w:cs="Times New Roman CYR"/>
          <w:sz w:val="28"/>
          <w:szCs w:val="28"/>
          <w:lang w:val="uk-UA"/>
        </w:rPr>
        <w:t>кв.м, тобто збільшилась на S</w:t>
      </w:r>
      <w:r>
        <w:rPr>
          <w:rFonts w:ascii="Times New Roman CYR" w:hAnsi="Times New Roman CYR" w:cs="Times New Roman CYR"/>
          <w:sz w:val="28"/>
          <w:szCs w:val="28"/>
        </w:rPr>
        <w:t xml:space="preserve">_3 </w:t>
      </w:r>
      <w:r>
        <w:rPr>
          <w:rFonts w:ascii="Times New Roman CYR" w:hAnsi="Times New Roman CYR" w:cs="Times New Roman CYR"/>
          <w:sz w:val="28"/>
          <w:szCs w:val="28"/>
          <w:lang w:val="uk-UA"/>
        </w:rPr>
        <w:t>кв.м.</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Інвесторами було сплачено на рахунок ТОВ «Форум-Інвест» кошти в </w:t>
      </w:r>
      <w:r>
        <w:rPr>
          <w:rFonts w:ascii="Times New Roman CYR" w:hAnsi="Times New Roman CYR" w:cs="Times New Roman CYR"/>
          <w:sz w:val="28"/>
          <w:szCs w:val="28"/>
          <w:lang w:val="uk-UA"/>
        </w:rPr>
        <w:lastRenderedPageBreak/>
        <w:t xml:space="preserve">розмірі 43 тис. 587 грн 99 коп., за S_3 м. кв. </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Звертаючись до суду з даним</w:t>
      </w:r>
      <w:r>
        <w:rPr>
          <w:rFonts w:ascii="Times New Roman CYR" w:hAnsi="Times New Roman CYR" w:cs="Times New Roman CYR"/>
          <w:sz w:val="28"/>
          <w:szCs w:val="28"/>
          <w:lang w:val="uk-UA"/>
        </w:rPr>
        <w:t xml:space="preserve"> позовом, позивачі посилаються на те, що вони належно виконали свої зобов’язання, проте ТОВ «Форму-Інвест» не надає їм документи, необхідні для реєстрації права власності.</w:t>
      </w:r>
    </w:p>
    <w:p w:rsidR="00000000" w:rsidRDefault="004F02D2">
      <w:pPr>
        <w:widowControl w:val="0"/>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Відмовляючи в задоволенні позовних вимог, суд виходив з того, що ТОВ «Форум-Інвест» </w:t>
      </w:r>
      <w:r>
        <w:rPr>
          <w:rFonts w:ascii="Times New Roman CYR" w:hAnsi="Times New Roman CYR" w:cs="Times New Roman CYR"/>
          <w:sz w:val="28"/>
          <w:szCs w:val="28"/>
          <w:lang w:val="uk-UA"/>
        </w:rPr>
        <w:t>є неналежним відповідачем, оскільки у правовідносинах з позивачами діяв як представник ДП «Житлоінбуд», а позивачами не було заявлено клопотання щодо заміни ТОВ «Форум-Інвест» на належного відповідача ДП «Житлоінбуд».</w:t>
      </w:r>
    </w:p>
    <w:p w:rsidR="00000000" w:rsidRDefault="004F02D2">
      <w:pPr>
        <w:widowControl w:val="0"/>
        <w:autoSpaceDE w:val="0"/>
        <w:autoSpaceDN w:val="0"/>
        <w:adjustRightInd w:val="0"/>
        <w:spacing w:after="0" w:line="240" w:lineRule="auto"/>
        <w:ind w:left="57" w:right="57"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Разом з тим у наведених для прикладу н</w:t>
      </w:r>
      <w:r>
        <w:rPr>
          <w:rFonts w:ascii="Times New Roman CYR" w:hAnsi="Times New Roman CYR" w:cs="Times New Roman CYR"/>
          <w:sz w:val="28"/>
          <w:szCs w:val="28"/>
          <w:lang w:val="uk-UA"/>
        </w:rPr>
        <w:t xml:space="preserve">еоднакового правозостосування судових рішеннях Вищого спеціалізованого суду України з розгляду цивільних і кримінальних справ від 20 листопада          2013 року та 13 лютого 2014 року суд касаційної інстанції виходив з того, що між сторонами правочину та </w:t>
      </w:r>
      <w:r>
        <w:rPr>
          <w:rFonts w:ascii="Times New Roman CYR" w:hAnsi="Times New Roman CYR" w:cs="Times New Roman CYR"/>
          <w:sz w:val="28"/>
          <w:szCs w:val="28"/>
          <w:lang w:val="uk-UA"/>
        </w:rPr>
        <w:t>ТОВ «Форум-Інвест» виникли договірні правовідносини в розумінні  статті 509 ЦК України.</w:t>
      </w:r>
    </w:p>
    <w:p w:rsidR="00000000" w:rsidRDefault="004F02D2">
      <w:pPr>
        <w:widowControl w:val="0"/>
        <w:autoSpaceDE w:val="0"/>
        <w:autoSpaceDN w:val="0"/>
        <w:adjustRightInd w:val="0"/>
        <w:spacing w:after="0" w:line="240" w:lineRule="auto"/>
        <w:ind w:left="57" w:right="57"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Такі ж висновки зроблено і в ухвалах Вищого спеціалізованого суду України з розгляду цивільних і кримінальних справ від 26 вересня           2013 року, 15 травня 2014 р</w:t>
      </w:r>
      <w:r>
        <w:rPr>
          <w:rFonts w:ascii="Times New Roman CYR" w:hAnsi="Times New Roman CYR" w:cs="Times New Roman CYR"/>
          <w:sz w:val="28"/>
          <w:szCs w:val="28"/>
          <w:lang w:val="uk-UA"/>
        </w:rPr>
        <w:t>оку, 21 травня 2014 року, 29 жовтня 2014 року, 19 грудня 2014 року, 12 лютого 2015 року.</w:t>
      </w:r>
    </w:p>
    <w:p w:rsidR="00000000" w:rsidRDefault="004F02D2">
      <w:pPr>
        <w:widowControl w:val="0"/>
        <w:autoSpaceDE w:val="0"/>
        <w:autoSpaceDN w:val="0"/>
        <w:adjustRightInd w:val="0"/>
        <w:spacing w:after="0" w:line="240" w:lineRule="auto"/>
        <w:ind w:left="57" w:right="57"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Отже, існує неоднакове застосування судом касаційної інстанції одних і тих самих норм матеріального права, а саме статті 11 та 509 ЦК України, що спричинило ухвалення </w:t>
      </w:r>
      <w:r>
        <w:rPr>
          <w:rFonts w:ascii="Times New Roman CYR" w:hAnsi="Times New Roman CYR" w:cs="Times New Roman CYR"/>
          <w:sz w:val="28"/>
          <w:szCs w:val="28"/>
          <w:lang w:val="uk-UA"/>
        </w:rPr>
        <w:t xml:space="preserve">різних за змістом судових рішень у подібних правовідносинах. </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Вирішуючи питання про усунення розбіжностей у застосуванні судом касаційної інстанції зазначених норм матеріального права, Судова палата у цивільних справах Верховного Суду України виходить з та</w:t>
      </w:r>
      <w:r>
        <w:rPr>
          <w:rFonts w:ascii="Times New Roman CYR" w:hAnsi="Times New Roman CYR" w:cs="Times New Roman CYR"/>
          <w:sz w:val="28"/>
          <w:szCs w:val="28"/>
          <w:lang w:val="uk-UA"/>
        </w:rPr>
        <w:t>кого.</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Підставами виникнення цивільних прав та обов’язків є договори та інші правочини (частина перша статті 11 ЦК України).</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Відповідно до статті 509 ЦК України зобов’язанням є правовідношення, в якому одна сторона (боржник) зобов’язана вчинити на користь д</w:t>
      </w:r>
      <w:r>
        <w:rPr>
          <w:rFonts w:ascii="Times New Roman CYR" w:hAnsi="Times New Roman CYR" w:cs="Times New Roman CYR"/>
          <w:sz w:val="28"/>
          <w:szCs w:val="28"/>
          <w:lang w:val="uk-UA"/>
        </w:rPr>
        <w:t>ругої сторони (кредитора) певну дію або утриматися від певної дії, а кредитор має право вимагати від боржника виконання його обов’язку.</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Цивільні права особа здійснює у межах, наданих їй договором або актами цивільного законодавства. </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Цивільні обов’язки вик</w:t>
      </w:r>
      <w:r>
        <w:rPr>
          <w:rFonts w:ascii="Times New Roman CYR" w:hAnsi="Times New Roman CYR" w:cs="Times New Roman CYR"/>
          <w:sz w:val="28"/>
          <w:szCs w:val="28"/>
          <w:lang w:val="uk-UA"/>
        </w:rPr>
        <w:t>онуються у межах, встановлених договором або актом цивільного законодавства. Особа не може бути примушена до дій, вчинення яких не є обов’язковим для неї (частини перша та друга             статті 14 ЦК України).</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Особа може бути звільнена від цивільного об</w:t>
      </w:r>
      <w:r>
        <w:rPr>
          <w:rFonts w:ascii="Times New Roman CYR" w:hAnsi="Times New Roman CYR" w:cs="Times New Roman CYR"/>
          <w:sz w:val="28"/>
          <w:szCs w:val="28"/>
          <w:lang w:val="uk-UA"/>
        </w:rPr>
        <w:t>ов’язку або його виконання тільки у випадках, встановлених договором або актом цивільного законодавства (частина четверта статті 14 ЦК України).</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Отже, на підставі договору виникають права та обов’язки, які в частині </w:t>
      </w:r>
      <w:r>
        <w:rPr>
          <w:rFonts w:ascii="Times New Roman CYR" w:hAnsi="Times New Roman CYR" w:cs="Times New Roman CYR"/>
          <w:sz w:val="28"/>
          <w:szCs w:val="28"/>
          <w:lang w:val="uk-UA"/>
        </w:rPr>
        <w:lastRenderedPageBreak/>
        <w:t>зобов’язань мають бути виконані сторонам</w:t>
      </w:r>
      <w:r>
        <w:rPr>
          <w:rFonts w:ascii="Times New Roman CYR" w:hAnsi="Times New Roman CYR" w:cs="Times New Roman CYR"/>
          <w:sz w:val="28"/>
          <w:szCs w:val="28"/>
          <w:lang w:val="uk-UA"/>
        </w:rPr>
        <w:t>и цього договору, якщо інше не встановлено самим договором або актами цивільного законодавства.</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Разом з тим законодавство передбачає також випадки коли зобов’язання або права в договорі можуть бути передані (відступлення права вимоги, відступлення боргу) і</w:t>
      </w:r>
      <w:r>
        <w:rPr>
          <w:rFonts w:ascii="Times New Roman CYR" w:hAnsi="Times New Roman CYR" w:cs="Times New Roman CYR"/>
          <w:sz w:val="28"/>
          <w:szCs w:val="28"/>
          <w:lang w:val="uk-UA"/>
        </w:rPr>
        <w:t>ншій особі або виконані від імені сторони договору іншою особою (представництво тощо).</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Відтак, з’ясовуючи зміст правовідносин сторін договору, суди мають виходити з умов договору, його буквального та логічного змісту, з намірів сторін саме того договору, з</w:t>
      </w:r>
      <w:r>
        <w:rPr>
          <w:rFonts w:ascii="Times New Roman CYR" w:hAnsi="Times New Roman CYR" w:cs="Times New Roman CYR"/>
          <w:sz w:val="28"/>
          <w:szCs w:val="28"/>
          <w:lang w:val="uk-UA"/>
        </w:rPr>
        <w:t xml:space="preserve"> приводу якого виник спір, а також із того, що сторони правовідносин мають діяти добросовісно.</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Проте, дійшовши висновку, що ТОВ «Форум-Інвест» діяло від імені ДП «Житлоінбуд», суд виходив не з умов договору між ТОВ «Форум-Інвест» та позивачами, з приводу я</w:t>
      </w:r>
      <w:r>
        <w:rPr>
          <w:rFonts w:ascii="Times New Roman CYR" w:hAnsi="Times New Roman CYR" w:cs="Times New Roman CYR"/>
          <w:sz w:val="28"/>
          <w:szCs w:val="28"/>
          <w:lang w:val="uk-UA"/>
        </w:rPr>
        <w:t>кого виник спір, а з умов договору між                 ТОВ «Форум-Інвест» та ДП «Житлоінбуд», на який немає посилання у спірному договорі.</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Отже, суди в порушення статей 11, 509 ЦК України, ухвалюючи рішення, не звернули увагу на зміст договору, укладеного </w:t>
      </w:r>
      <w:r>
        <w:rPr>
          <w:rFonts w:ascii="Times New Roman CYR" w:hAnsi="Times New Roman CYR" w:cs="Times New Roman CYR"/>
          <w:sz w:val="28"/>
          <w:szCs w:val="28"/>
          <w:lang w:val="uk-UA"/>
        </w:rPr>
        <w:t>сторонами, та не застосували до цих правовідносин зазначені норми матеріального права, що підлягали застосуванню. Установивши наявність договірних правовідносин та факт перевищення розміру житлової площі квартири порівняно із зазначеною в договорі, суди не</w:t>
      </w:r>
      <w:r>
        <w:rPr>
          <w:rFonts w:ascii="Times New Roman CYR" w:hAnsi="Times New Roman CYR" w:cs="Times New Roman CYR"/>
          <w:sz w:val="28"/>
          <w:szCs w:val="28"/>
          <w:lang w:val="uk-UA"/>
        </w:rPr>
        <w:t xml:space="preserve"> звернули увагу на таке.</w:t>
      </w:r>
    </w:p>
    <w:p w:rsidR="00000000" w:rsidRDefault="004F02D2">
      <w:pPr>
        <w:widowControl w:val="0"/>
        <w:autoSpaceDE w:val="0"/>
        <w:autoSpaceDN w:val="0"/>
        <w:adjustRightInd w:val="0"/>
        <w:spacing w:after="0" w:line="320" w:lineRule="exact"/>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Згідно зі статтею 526 ЦК України зобов’язання має виконуватися належним чином відповідно до умов договору та вимог цього Кодексу, інших актів цивільного законодавства.</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Разом з тим сторони можуть за взаємною згодою змінити умови дог</w:t>
      </w:r>
      <w:r>
        <w:rPr>
          <w:rFonts w:ascii="Times New Roman CYR" w:hAnsi="Times New Roman CYR" w:cs="Times New Roman CYR"/>
          <w:sz w:val="28"/>
          <w:szCs w:val="28"/>
          <w:lang w:val="uk-UA"/>
        </w:rPr>
        <w:t>овору, якщо інше не встановлено договором або законом (частина перша статті 651 ЦК України).</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 цьому зміна або розірвання договору вчиняється у такій самій формі, що й договір, що змінюється або розривається, якщо інше не встановлено договором або законо</w:t>
      </w:r>
      <w:r>
        <w:rPr>
          <w:rFonts w:ascii="Times New Roman CYR" w:hAnsi="Times New Roman CYR" w:cs="Times New Roman CYR"/>
          <w:sz w:val="28"/>
          <w:szCs w:val="28"/>
          <w:lang w:val="uk-UA"/>
        </w:rPr>
        <w:t>м.</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Проте якщо ця умова істотно змінює умови договору, то ці обставини є істотними. Позивачі мали право не прийняти виконання договору та відмовитись від нього, якщо це встановлено договором або законом                 (статті 651 та 615 ЦК України).</w:t>
      </w: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огля</w:t>
      </w:r>
      <w:r>
        <w:rPr>
          <w:rFonts w:ascii="Times New Roman CYR" w:hAnsi="Times New Roman CYR" w:cs="Times New Roman CYR"/>
          <w:sz w:val="28"/>
          <w:szCs w:val="28"/>
          <w:lang w:val="uk-UA"/>
        </w:rPr>
        <w:t>ду на зміст позовних вимог, обов’язковість умов договору для виконання, балансу інтересів обох сторін договору слід дійти висновку, що збільшення без згоди інвестора житлової площі квартири, яка має бути передана інвестору за умовами договору інвестицій, н</w:t>
      </w:r>
      <w:r>
        <w:rPr>
          <w:rFonts w:ascii="Times New Roman CYR" w:hAnsi="Times New Roman CYR" w:cs="Times New Roman CYR"/>
          <w:sz w:val="28"/>
          <w:szCs w:val="28"/>
          <w:lang w:val="uk-UA"/>
        </w:rPr>
        <w:t xml:space="preserve">е позбавляє права зобов’язану сторону договору передати зазначену квартиру інвестору, а інвестора – оплатити збільшену площу на умовах договору, якщо він прийняв виконання договору або вимагає його виконання в судовому порядку. </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Ураховуючи</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викладене</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суд</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к</w:t>
      </w:r>
      <w:r>
        <w:rPr>
          <w:rFonts w:ascii="Times New Roman CYR" w:hAnsi="Times New Roman CYR" w:cs="Times New Roman CYR"/>
          <w:sz w:val="28"/>
          <w:szCs w:val="28"/>
          <w:lang w:val="uk-UA"/>
        </w:rPr>
        <w:t>асаційної</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інстанції</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помилково</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скасував</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lastRenderedPageBreak/>
        <w:t>рішення</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суду</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апеляційної</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інстанції</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й</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залишив</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у</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силі</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рішення</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суду</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першої</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інстанції</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про</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відмову</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в</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позові</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а</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тому</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на</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підставі</w:t>
      </w:r>
      <w:r>
        <w:rPr>
          <w:rFonts w:ascii="Times NR Cyr MT" w:hAnsi="Times NR Cyr MT" w:cs="Times NR Cyr MT"/>
          <w:sz w:val="28"/>
          <w:szCs w:val="28"/>
          <w:lang w:val="en-US"/>
        </w:rPr>
        <w:t xml:space="preserve"> </w:t>
      </w:r>
      <w:r>
        <w:rPr>
          <w:rFonts w:ascii="Times New Roman CYR" w:hAnsi="Times New Roman CYR" w:cs="Times New Roman CYR"/>
          <w:sz w:val="28"/>
          <w:szCs w:val="28"/>
          <w:lang w:val="uk-UA"/>
        </w:rPr>
        <w:t>підпункту «б» пункту 2 частини другої статті 360</w:t>
      </w:r>
      <w:r>
        <w:rPr>
          <w:rFonts w:ascii="Times New Roman CYR" w:hAnsi="Times New Roman CYR" w:cs="Times New Roman CYR"/>
          <w:sz w:val="28"/>
          <w:szCs w:val="28"/>
          <w:vertAlign w:val="superscript"/>
          <w:lang w:val="uk-UA"/>
        </w:rPr>
        <w:t>4</w:t>
      </w:r>
      <w:r>
        <w:rPr>
          <w:rFonts w:ascii="Times New Roman CYR" w:hAnsi="Times New Roman CYR" w:cs="Times New Roman CYR"/>
          <w:sz w:val="28"/>
          <w:szCs w:val="28"/>
          <w:lang w:val="uk-UA"/>
        </w:rPr>
        <w:t xml:space="preserve"> ЦПК України Судова палата у цивільних справа</w:t>
      </w:r>
      <w:r>
        <w:rPr>
          <w:rFonts w:ascii="Times New Roman CYR" w:hAnsi="Times New Roman CYR" w:cs="Times New Roman CYR"/>
          <w:sz w:val="28"/>
          <w:szCs w:val="28"/>
          <w:lang w:val="uk-UA"/>
        </w:rPr>
        <w:t>х Верховного Суду України дійшла висновку про часткове задоволення заяви ОСОБА_1, ОСОБА_2 та ОСОБА_3 щодо скасування рішення суду касаційної інстанції із залишенням у силі рішення суду апеляційної інстанції.</w:t>
      </w:r>
    </w:p>
    <w:p w:rsidR="00000000" w:rsidRDefault="004F02D2">
      <w:pPr>
        <w:widowControl w:val="0"/>
        <w:tabs>
          <w:tab w:val="left" w:pos="720"/>
        </w:tabs>
        <w:autoSpaceDE w:val="0"/>
        <w:autoSpaceDN w:val="0"/>
        <w:adjustRightInd w:val="0"/>
        <w:spacing w:after="0" w:line="240" w:lineRule="auto"/>
        <w:ind w:firstLine="72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Керуючись пунктом 1 частини першої статті 355, п</w:t>
      </w:r>
      <w:r>
        <w:rPr>
          <w:rFonts w:ascii="Times New Roman CYR" w:hAnsi="Times New Roman CYR" w:cs="Times New Roman CYR"/>
          <w:sz w:val="28"/>
          <w:szCs w:val="28"/>
          <w:lang w:val="uk-UA"/>
        </w:rPr>
        <w:t>ідпунктом «б» пункту 2 частини другої статті 360</w:t>
      </w:r>
      <w:r>
        <w:rPr>
          <w:rFonts w:ascii="Times New Roman CYR" w:hAnsi="Times New Roman CYR" w:cs="Times New Roman CYR"/>
          <w:sz w:val="28"/>
          <w:szCs w:val="28"/>
          <w:vertAlign w:val="superscript"/>
          <w:lang w:val="uk-UA"/>
        </w:rPr>
        <w:t>4</w:t>
      </w:r>
      <w:r>
        <w:rPr>
          <w:rFonts w:ascii="Times New Roman CYR" w:hAnsi="Times New Roman CYR" w:cs="Times New Roman CYR"/>
          <w:sz w:val="28"/>
          <w:szCs w:val="28"/>
          <w:lang w:val="uk-UA"/>
        </w:rPr>
        <w:t xml:space="preserve"> ЦПК України, Судова палата у цивільних справах Верховного Суду України</w:t>
      </w:r>
    </w:p>
    <w:p w:rsidR="00000000" w:rsidRDefault="004F02D2">
      <w:pPr>
        <w:widowControl w:val="0"/>
        <w:autoSpaceDE w:val="0"/>
        <w:autoSpaceDN w:val="0"/>
        <w:adjustRightInd w:val="0"/>
        <w:spacing w:before="120" w:after="120" w:line="240" w:lineRule="auto"/>
        <w:ind w:left="57" w:right="57" w:firstLine="720"/>
        <w:jc w:val="center"/>
        <w:rPr>
          <w:rFonts w:ascii="Times New Roman CYR" w:hAnsi="Times New Roman CYR" w:cs="Times New Roman CYR"/>
          <w:b/>
          <w:bCs/>
          <w:sz w:val="27"/>
          <w:szCs w:val="27"/>
          <w:lang w:val="uk-UA"/>
        </w:rPr>
      </w:pPr>
      <w:r>
        <w:rPr>
          <w:rFonts w:ascii="Times New Roman CYR" w:hAnsi="Times New Roman CYR" w:cs="Times New Roman CYR"/>
          <w:b/>
          <w:bCs/>
          <w:sz w:val="27"/>
          <w:szCs w:val="27"/>
          <w:lang w:val="uk-UA"/>
        </w:rPr>
        <w:t>п о с т а н о в и л а:</w:t>
      </w:r>
    </w:p>
    <w:p w:rsidR="00000000" w:rsidRDefault="004F02D2">
      <w:pPr>
        <w:widowControl w:val="0"/>
        <w:autoSpaceDE w:val="0"/>
        <w:autoSpaceDN w:val="0"/>
        <w:adjustRightInd w:val="0"/>
        <w:spacing w:after="0" w:line="240" w:lineRule="auto"/>
        <w:ind w:left="58" w:right="58" w:firstLine="70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Заяву </w:t>
      </w:r>
      <w:r>
        <w:rPr>
          <w:rFonts w:ascii="Times New Roman CYR" w:hAnsi="Times New Roman CYR" w:cs="Times New Roman CYR"/>
          <w:sz w:val="28"/>
          <w:szCs w:val="28"/>
        </w:rPr>
        <w:t xml:space="preserve">ОСОБА_1, ОСОБА_2 та ОСОБА_3 </w:t>
      </w:r>
      <w:r>
        <w:rPr>
          <w:rFonts w:ascii="Times New Roman CYR" w:hAnsi="Times New Roman CYR" w:cs="Times New Roman CYR"/>
          <w:sz w:val="28"/>
          <w:szCs w:val="28"/>
          <w:lang w:val="uk-UA"/>
        </w:rPr>
        <w:t>задовольнити.</w:t>
      </w:r>
    </w:p>
    <w:p w:rsidR="00000000" w:rsidRDefault="004F02D2">
      <w:pPr>
        <w:widowControl w:val="0"/>
        <w:autoSpaceDE w:val="0"/>
        <w:autoSpaceDN w:val="0"/>
        <w:adjustRightInd w:val="0"/>
        <w:spacing w:after="0" w:line="240" w:lineRule="auto"/>
        <w:ind w:left="58" w:right="58" w:firstLine="706"/>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Ухвалу Вищого спеціалізованого суду України з розгляду цивільних</w:t>
      </w:r>
      <w:r>
        <w:rPr>
          <w:rFonts w:ascii="Times New Roman CYR" w:hAnsi="Times New Roman CYR" w:cs="Times New Roman CYR"/>
          <w:sz w:val="28"/>
          <w:szCs w:val="28"/>
          <w:lang w:val="uk-UA"/>
        </w:rPr>
        <w:t xml:space="preserve"> і кримінальних справ від 25 лютого 2015 року скасувати, рішення апеляційного суду м. Києва від 8 жовтня 2014 року залишити в силі.</w:t>
      </w:r>
    </w:p>
    <w:p w:rsidR="00000000" w:rsidRDefault="004F02D2">
      <w:pPr>
        <w:widowControl w:val="0"/>
        <w:autoSpaceDE w:val="0"/>
        <w:autoSpaceDN w:val="0"/>
        <w:adjustRightInd w:val="0"/>
        <w:spacing w:after="0" w:line="240" w:lineRule="auto"/>
        <w:ind w:left="58" w:right="58" w:firstLine="706"/>
        <w:jc w:val="both"/>
        <w:rPr>
          <w:rFonts w:ascii="Times New Roman CYR" w:hAnsi="Times New Roman CYR" w:cs="Times New Roman CYR"/>
          <w:sz w:val="27"/>
          <w:szCs w:val="27"/>
          <w:lang w:val="uk-UA"/>
        </w:rPr>
      </w:pPr>
      <w:r>
        <w:rPr>
          <w:rFonts w:ascii="Times New Roman CYR" w:hAnsi="Times New Roman CYR" w:cs="Times New Roman CYR"/>
          <w:sz w:val="28"/>
          <w:szCs w:val="28"/>
          <w:lang w:val="uk-UA"/>
        </w:rPr>
        <w:t>Постанова Верховного Суду України є остаточною і може бути оскаржена тільки на підставі, встановленій пунктом 3 частини перш</w:t>
      </w:r>
      <w:r>
        <w:rPr>
          <w:rFonts w:ascii="Times New Roman CYR" w:hAnsi="Times New Roman CYR" w:cs="Times New Roman CYR"/>
          <w:sz w:val="28"/>
          <w:szCs w:val="28"/>
          <w:lang w:val="uk-UA"/>
        </w:rPr>
        <w:t>ої статті 355 Цивільного процесуального кодексу України.</w:t>
      </w:r>
    </w:p>
    <w:p w:rsidR="00000000" w:rsidRDefault="004F02D2">
      <w:pPr>
        <w:widowControl w:val="0"/>
        <w:autoSpaceDE w:val="0"/>
        <w:autoSpaceDN w:val="0"/>
        <w:adjustRightInd w:val="0"/>
        <w:spacing w:before="40" w:after="0" w:line="240" w:lineRule="auto"/>
        <w:ind w:firstLine="709"/>
        <w:jc w:val="both"/>
        <w:rPr>
          <w:rFonts w:ascii="Times New Roman CYR" w:hAnsi="Times New Roman CYR" w:cs="Times New Roman CYR"/>
          <w:sz w:val="27"/>
          <w:szCs w:val="27"/>
          <w:lang w:val="uk-UA"/>
        </w:rPr>
      </w:pPr>
    </w:p>
    <w:tbl>
      <w:tblPr>
        <w:tblW w:w="0" w:type="auto"/>
        <w:tblInd w:w="-34" w:type="dxa"/>
        <w:tblLayout w:type="fixed"/>
        <w:tblLook w:val="0000" w:firstRow="0" w:lastRow="0" w:firstColumn="0" w:lastColumn="0" w:noHBand="0" w:noVBand="0"/>
      </w:tblPr>
      <w:tblGrid>
        <w:gridCol w:w="5812"/>
        <w:gridCol w:w="4435"/>
      </w:tblGrid>
      <w:tr w:rsidR="00000000">
        <w:tblPrEx>
          <w:tblCellMar>
            <w:top w:w="0" w:type="dxa"/>
            <w:bottom w:w="0" w:type="dxa"/>
          </w:tblCellMar>
        </w:tblPrEx>
        <w:tc>
          <w:tcPr>
            <w:tcW w:w="5812" w:type="dxa"/>
            <w:tcBorders>
              <w:top w:val="nil"/>
              <w:left w:val="nil"/>
              <w:bottom w:val="nil"/>
              <w:right w:val="nil"/>
            </w:tcBorders>
          </w:tcPr>
          <w:p w:rsidR="00000000" w:rsidRDefault="004F02D2">
            <w:pPr>
              <w:keepNext/>
              <w:widowControl w:val="0"/>
              <w:autoSpaceDE w:val="0"/>
              <w:autoSpaceDN w:val="0"/>
              <w:adjustRightInd w:val="0"/>
              <w:spacing w:before="30" w:after="0" w:line="240" w:lineRule="auto"/>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Головуючий</w:t>
            </w:r>
          </w:p>
          <w:p w:rsidR="00000000" w:rsidRDefault="004F02D2">
            <w:pPr>
              <w:widowControl w:val="0"/>
              <w:autoSpaceDE w:val="0"/>
              <w:autoSpaceDN w:val="0"/>
              <w:adjustRightInd w:val="0"/>
              <w:spacing w:after="0" w:line="240" w:lineRule="auto"/>
              <w:rPr>
                <w:rFonts w:ascii="Times NR Cyr MT" w:hAnsi="Times NR Cyr MT" w:cs="Times NR Cyr MT"/>
                <w:sz w:val="28"/>
                <w:szCs w:val="28"/>
                <w:lang w:val="en-US"/>
              </w:rPr>
            </w:pPr>
          </w:p>
          <w:p w:rsidR="00000000" w:rsidRDefault="004F02D2">
            <w:pPr>
              <w:widowControl w:val="0"/>
              <w:autoSpaceDE w:val="0"/>
              <w:autoSpaceDN w:val="0"/>
              <w:adjustRightInd w:val="0"/>
              <w:spacing w:after="0" w:line="240" w:lineRule="auto"/>
              <w:rPr>
                <w:rFonts w:ascii="Times NR Cyr MT" w:hAnsi="Times NR Cyr MT" w:cs="Times NR Cyr MT"/>
                <w:sz w:val="28"/>
                <w:szCs w:val="28"/>
                <w:lang w:val="en-US"/>
              </w:rPr>
            </w:pPr>
          </w:p>
        </w:tc>
        <w:tc>
          <w:tcPr>
            <w:tcW w:w="4435" w:type="dxa"/>
            <w:tcBorders>
              <w:top w:val="nil"/>
              <w:left w:val="nil"/>
              <w:bottom w:val="nil"/>
              <w:right w:val="nil"/>
            </w:tcBorders>
          </w:tcPr>
          <w:p w:rsidR="00000000" w:rsidRDefault="004F02D2">
            <w:pPr>
              <w:keepNext/>
              <w:widowControl w:val="0"/>
              <w:autoSpaceDE w:val="0"/>
              <w:autoSpaceDN w:val="0"/>
              <w:adjustRightInd w:val="0"/>
              <w:spacing w:before="30" w:after="0" w:line="240" w:lineRule="auto"/>
              <w:ind w:firstLine="216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В.М. Сімоненко </w:t>
            </w:r>
          </w:p>
          <w:p w:rsidR="00000000" w:rsidRDefault="004F02D2">
            <w:pPr>
              <w:keepNext/>
              <w:widowControl w:val="0"/>
              <w:autoSpaceDE w:val="0"/>
              <w:autoSpaceDN w:val="0"/>
              <w:adjustRightInd w:val="0"/>
              <w:spacing w:before="30" w:after="0" w:line="240" w:lineRule="auto"/>
              <w:ind w:firstLine="2302"/>
              <w:jc w:val="both"/>
              <w:rPr>
                <w:rFonts w:ascii="Times New Roman CYR" w:hAnsi="Times New Roman CYR" w:cs="Times New Roman CYR"/>
                <w:sz w:val="28"/>
                <w:szCs w:val="28"/>
                <w:lang w:val="uk-UA"/>
              </w:rPr>
            </w:pPr>
          </w:p>
          <w:p w:rsidR="00000000" w:rsidRDefault="004F02D2">
            <w:pPr>
              <w:widowControl w:val="0"/>
              <w:autoSpaceDE w:val="0"/>
              <w:autoSpaceDN w:val="0"/>
              <w:adjustRightInd w:val="0"/>
              <w:spacing w:after="0" w:line="240" w:lineRule="auto"/>
              <w:rPr>
                <w:rFonts w:ascii="Times New Roman CYR" w:hAnsi="Times New Roman CYR" w:cs="Times New Roman CYR"/>
                <w:sz w:val="20"/>
                <w:szCs w:val="20"/>
                <w:lang w:val="uk-UA"/>
              </w:rPr>
            </w:pPr>
          </w:p>
          <w:p w:rsidR="00000000" w:rsidRDefault="004F02D2">
            <w:pPr>
              <w:widowControl w:val="0"/>
              <w:autoSpaceDE w:val="0"/>
              <w:autoSpaceDN w:val="0"/>
              <w:adjustRightInd w:val="0"/>
              <w:spacing w:after="0" w:line="240" w:lineRule="auto"/>
              <w:rPr>
                <w:rFonts w:ascii="Times New Roman CYR" w:hAnsi="Times New Roman CYR" w:cs="Times New Roman CYR"/>
                <w:sz w:val="20"/>
                <w:szCs w:val="20"/>
                <w:lang w:val="uk-UA"/>
              </w:rPr>
            </w:pPr>
          </w:p>
        </w:tc>
      </w:tr>
      <w:tr w:rsidR="00000000">
        <w:tblPrEx>
          <w:tblCellMar>
            <w:top w:w="0" w:type="dxa"/>
            <w:bottom w:w="0" w:type="dxa"/>
          </w:tblCellMar>
        </w:tblPrEx>
        <w:tc>
          <w:tcPr>
            <w:tcW w:w="5812" w:type="dxa"/>
            <w:tcBorders>
              <w:top w:val="nil"/>
              <w:left w:val="nil"/>
              <w:bottom w:val="nil"/>
              <w:right w:val="nil"/>
            </w:tcBorders>
          </w:tcPr>
          <w:p w:rsidR="00000000" w:rsidRDefault="004F02D2">
            <w:pPr>
              <w:widowControl w:val="0"/>
              <w:tabs>
                <w:tab w:val="left" w:pos="3444"/>
                <w:tab w:val="left" w:pos="3596"/>
              </w:tabs>
              <w:autoSpaceDE w:val="0"/>
              <w:autoSpaceDN w:val="0"/>
              <w:adjustRightInd w:val="0"/>
              <w:spacing w:before="30" w:after="0" w:line="240" w:lineRule="auto"/>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Судді:                                      Л.І. Григор’єва </w:t>
            </w:r>
          </w:p>
          <w:p w:rsidR="00000000" w:rsidRDefault="004F02D2">
            <w:pPr>
              <w:widowControl w:val="0"/>
              <w:autoSpaceDE w:val="0"/>
              <w:autoSpaceDN w:val="0"/>
              <w:adjustRightInd w:val="0"/>
              <w:spacing w:before="30" w:after="0" w:line="240" w:lineRule="auto"/>
              <w:jc w:val="both"/>
              <w:rPr>
                <w:rFonts w:ascii="Times New Roman CYR" w:hAnsi="Times New Roman CYR" w:cs="Times New Roman CYR"/>
                <w:b/>
                <w:bCs/>
                <w:sz w:val="28"/>
                <w:szCs w:val="28"/>
                <w:lang w:val="uk-UA"/>
              </w:rPr>
            </w:pPr>
          </w:p>
        </w:tc>
        <w:tc>
          <w:tcPr>
            <w:tcW w:w="4435" w:type="dxa"/>
            <w:tcBorders>
              <w:top w:val="nil"/>
              <w:left w:val="nil"/>
              <w:bottom w:val="nil"/>
              <w:right w:val="nil"/>
            </w:tcBorders>
          </w:tcPr>
          <w:p w:rsidR="00000000" w:rsidRDefault="004F02D2">
            <w:pPr>
              <w:keepNext/>
              <w:widowControl w:val="0"/>
              <w:autoSpaceDE w:val="0"/>
              <w:autoSpaceDN w:val="0"/>
              <w:adjustRightInd w:val="0"/>
              <w:spacing w:before="30" w:after="0" w:line="240" w:lineRule="auto"/>
              <w:ind w:firstLine="2160"/>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 xml:space="preserve">Я.М. Романюк </w:t>
            </w:r>
          </w:p>
        </w:tc>
      </w:tr>
      <w:tr w:rsidR="00000000">
        <w:tblPrEx>
          <w:tblCellMar>
            <w:top w:w="0" w:type="dxa"/>
            <w:bottom w:w="0" w:type="dxa"/>
          </w:tblCellMar>
        </w:tblPrEx>
        <w:tc>
          <w:tcPr>
            <w:tcW w:w="5812" w:type="dxa"/>
            <w:tcBorders>
              <w:top w:val="nil"/>
              <w:left w:val="nil"/>
              <w:bottom w:val="nil"/>
              <w:right w:val="nil"/>
            </w:tcBorders>
          </w:tcPr>
          <w:p w:rsidR="00000000" w:rsidRDefault="004F02D2">
            <w:pPr>
              <w:widowControl w:val="0"/>
              <w:autoSpaceDE w:val="0"/>
              <w:autoSpaceDN w:val="0"/>
              <w:adjustRightInd w:val="0"/>
              <w:spacing w:before="30" w:after="0" w:line="240" w:lineRule="auto"/>
              <w:ind w:firstLine="3436"/>
              <w:jc w:val="both"/>
              <w:rPr>
                <w:rFonts w:ascii="Times New Roman CYR" w:hAnsi="Times New Roman CYR" w:cs="Times New Roman CYR"/>
                <w:b/>
                <w:bCs/>
                <w:sz w:val="28"/>
                <w:szCs w:val="28"/>
                <w:lang w:val="uk-UA"/>
              </w:rPr>
            </w:pPr>
          </w:p>
          <w:p w:rsidR="00000000" w:rsidRDefault="004F02D2">
            <w:pPr>
              <w:widowControl w:val="0"/>
              <w:autoSpaceDE w:val="0"/>
              <w:autoSpaceDN w:val="0"/>
              <w:adjustRightInd w:val="0"/>
              <w:spacing w:before="30" w:after="0" w:line="240" w:lineRule="auto"/>
              <w:ind w:firstLine="3436"/>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В.І. Гуменюк </w:t>
            </w:r>
          </w:p>
          <w:p w:rsidR="00000000" w:rsidRDefault="004F02D2">
            <w:pPr>
              <w:widowControl w:val="0"/>
              <w:autoSpaceDE w:val="0"/>
              <w:autoSpaceDN w:val="0"/>
              <w:adjustRightInd w:val="0"/>
              <w:spacing w:before="30" w:after="0" w:line="240" w:lineRule="auto"/>
              <w:jc w:val="both"/>
              <w:rPr>
                <w:rFonts w:ascii="Times New Roman CYR" w:hAnsi="Times New Roman CYR" w:cs="Times New Roman CYR"/>
                <w:b/>
                <w:bCs/>
                <w:sz w:val="28"/>
                <w:szCs w:val="28"/>
                <w:lang w:val="uk-UA"/>
              </w:rPr>
            </w:pPr>
          </w:p>
        </w:tc>
        <w:tc>
          <w:tcPr>
            <w:tcW w:w="4435" w:type="dxa"/>
            <w:tcBorders>
              <w:top w:val="nil"/>
              <w:left w:val="nil"/>
              <w:bottom w:val="nil"/>
              <w:right w:val="nil"/>
            </w:tcBorders>
          </w:tcPr>
          <w:p w:rsidR="00000000" w:rsidRDefault="004F02D2">
            <w:pPr>
              <w:keepNext/>
              <w:widowControl w:val="0"/>
              <w:autoSpaceDE w:val="0"/>
              <w:autoSpaceDN w:val="0"/>
              <w:adjustRightInd w:val="0"/>
              <w:spacing w:before="30" w:after="0" w:line="240" w:lineRule="auto"/>
              <w:ind w:firstLine="2160"/>
              <w:rPr>
                <w:rFonts w:ascii="Times New Roman CYR" w:hAnsi="Times New Roman CYR" w:cs="Times New Roman CYR"/>
                <w:b/>
                <w:bCs/>
                <w:sz w:val="28"/>
                <w:szCs w:val="28"/>
                <w:lang w:val="uk-UA"/>
              </w:rPr>
            </w:pPr>
          </w:p>
          <w:p w:rsidR="00000000" w:rsidRDefault="004F02D2">
            <w:pPr>
              <w:keepNext/>
              <w:widowControl w:val="0"/>
              <w:autoSpaceDE w:val="0"/>
              <w:autoSpaceDN w:val="0"/>
              <w:adjustRightInd w:val="0"/>
              <w:spacing w:before="30" w:after="0" w:line="240" w:lineRule="auto"/>
              <w:ind w:firstLine="2160"/>
              <w:rPr>
                <w:rFonts w:ascii="Times New Roman CYR" w:hAnsi="Times New Roman CYR" w:cs="Times New Roman CYR"/>
                <w:sz w:val="28"/>
                <w:szCs w:val="28"/>
                <w:lang w:val="uk-UA"/>
              </w:rPr>
            </w:pPr>
            <w:r>
              <w:rPr>
                <w:rFonts w:ascii="Times New Roman CYR" w:hAnsi="Times New Roman CYR" w:cs="Times New Roman CYR"/>
                <w:b/>
                <w:bCs/>
                <w:sz w:val="28"/>
                <w:szCs w:val="28"/>
                <w:lang w:val="uk-UA"/>
              </w:rPr>
              <w:t>Ю.Л. Сенін</w:t>
            </w:r>
          </w:p>
        </w:tc>
      </w:tr>
      <w:tr w:rsidR="00000000">
        <w:tblPrEx>
          <w:tblCellMar>
            <w:top w:w="0" w:type="dxa"/>
            <w:bottom w:w="0" w:type="dxa"/>
          </w:tblCellMar>
        </w:tblPrEx>
        <w:tc>
          <w:tcPr>
            <w:tcW w:w="5812" w:type="dxa"/>
            <w:tcBorders>
              <w:top w:val="nil"/>
              <w:left w:val="nil"/>
              <w:bottom w:val="nil"/>
              <w:right w:val="nil"/>
            </w:tcBorders>
          </w:tcPr>
          <w:p w:rsidR="00000000" w:rsidRDefault="004F02D2">
            <w:pPr>
              <w:keepNext/>
              <w:widowControl w:val="0"/>
              <w:autoSpaceDE w:val="0"/>
              <w:autoSpaceDN w:val="0"/>
              <w:adjustRightInd w:val="0"/>
              <w:spacing w:before="30" w:after="0" w:line="240" w:lineRule="auto"/>
              <w:ind w:firstLine="3436"/>
              <w:rPr>
                <w:rFonts w:ascii="Times New Roman CYR" w:hAnsi="Times New Roman CYR" w:cs="Times New Roman CYR"/>
                <w:b/>
                <w:bCs/>
                <w:sz w:val="28"/>
                <w:szCs w:val="28"/>
                <w:lang w:val="uk-UA"/>
              </w:rPr>
            </w:pPr>
          </w:p>
          <w:p w:rsidR="00000000" w:rsidRDefault="004F02D2">
            <w:pPr>
              <w:keepNext/>
              <w:widowControl w:val="0"/>
              <w:autoSpaceDE w:val="0"/>
              <w:autoSpaceDN w:val="0"/>
              <w:adjustRightInd w:val="0"/>
              <w:spacing w:before="30" w:after="0" w:line="240" w:lineRule="auto"/>
              <w:ind w:firstLine="3436"/>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Л.І. Охрімчук</w:t>
            </w:r>
          </w:p>
          <w:p w:rsidR="00000000" w:rsidRDefault="004F02D2">
            <w:pPr>
              <w:widowControl w:val="0"/>
              <w:autoSpaceDE w:val="0"/>
              <w:autoSpaceDN w:val="0"/>
              <w:adjustRightInd w:val="0"/>
              <w:spacing w:after="0" w:line="240" w:lineRule="auto"/>
              <w:rPr>
                <w:rFonts w:ascii="Times New Roman CYR" w:hAnsi="Times New Roman CYR" w:cs="Times New Roman CYR"/>
                <w:sz w:val="28"/>
                <w:szCs w:val="28"/>
                <w:lang w:val="uk-UA"/>
              </w:rPr>
            </w:pPr>
          </w:p>
          <w:p w:rsidR="00000000" w:rsidRDefault="004F02D2">
            <w:pPr>
              <w:widowControl w:val="0"/>
              <w:autoSpaceDE w:val="0"/>
              <w:autoSpaceDN w:val="0"/>
              <w:adjustRightInd w:val="0"/>
              <w:spacing w:after="0" w:line="240" w:lineRule="auto"/>
              <w:rPr>
                <w:rFonts w:ascii="Times NR Cyr MT" w:hAnsi="Times NR Cyr MT" w:cs="Times NR Cyr MT"/>
                <w:sz w:val="28"/>
                <w:szCs w:val="28"/>
                <w:lang w:val="en-US"/>
              </w:rPr>
            </w:pPr>
          </w:p>
        </w:tc>
        <w:tc>
          <w:tcPr>
            <w:tcW w:w="4435" w:type="dxa"/>
            <w:tcBorders>
              <w:top w:val="nil"/>
              <w:left w:val="nil"/>
              <w:bottom w:val="nil"/>
              <w:right w:val="nil"/>
            </w:tcBorders>
          </w:tcPr>
          <w:p w:rsidR="00000000" w:rsidRDefault="004F02D2">
            <w:pPr>
              <w:keepNext/>
              <w:widowControl w:val="0"/>
              <w:autoSpaceDE w:val="0"/>
              <w:autoSpaceDN w:val="0"/>
              <w:adjustRightInd w:val="0"/>
              <w:spacing w:before="30" w:after="0" w:line="240" w:lineRule="auto"/>
              <w:ind w:firstLine="2160"/>
              <w:jc w:val="both"/>
              <w:rPr>
                <w:rFonts w:ascii="Times New Roman CYR" w:hAnsi="Times New Roman CYR" w:cs="Times New Roman CYR"/>
                <w:b/>
                <w:bCs/>
                <w:sz w:val="28"/>
                <w:szCs w:val="28"/>
                <w:lang w:val="uk-UA"/>
              </w:rPr>
            </w:pPr>
          </w:p>
          <w:p w:rsidR="00000000" w:rsidRDefault="004F02D2">
            <w:pPr>
              <w:keepNext/>
              <w:widowControl w:val="0"/>
              <w:autoSpaceDE w:val="0"/>
              <w:autoSpaceDN w:val="0"/>
              <w:adjustRightInd w:val="0"/>
              <w:spacing w:before="30" w:after="0" w:line="240" w:lineRule="auto"/>
              <w:ind w:firstLine="2160"/>
              <w:jc w:val="both"/>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А.Г. Ярема</w:t>
            </w:r>
          </w:p>
          <w:p w:rsidR="00000000" w:rsidRDefault="004F02D2">
            <w:pPr>
              <w:keepNext/>
              <w:widowControl w:val="0"/>
              <w:autoSpaceDE w:val="0"/>
              <w:autoSpaceDN w:val="0"/>
              <w:adjustRightInd w:val="0"/>
              <w:spacing w:before="30" w:after="0" w:line="240" w:lineRule="auto"/>
              <w:rPr>
                <w:rFonts w:ascii="Times New Roman CYR" w:hAnsi="Times New Roman CYR" w:cs="Times New Roman CYR"/>
                <w:b/>
                <w:bCs/>
                <w:sz w:val="28"/>
                <w:szCs w:val="28"/>
                <w:lang w:val="uk-UA"/>
              </w:rPr>
            </w:pPr>
          </w:p>
        </w:tc>
      </w:tr>
      <w:tr w:rsidR="00000000">
        <w:tblPrEx>
          <w:tblCellMar>
            <w:top w:w="0" w:type="dxa"/>
            <w:bottom w:w="0" w:type="dxa"/>
          </w:tblCellMar>
        </w:tblPrEx>
        <w:tc>
          <w:tcPr>
            <w:tcW w:w="5812" w:type="dxa"/>
            <w:tcBorders>
              <w:top w:val="nil"/>
              <w:left w:val="nil"/>
              <w:bottom w:val="nil"/>
              <w:right w:val="nil"/>
            </w:tcBorders>
          </w:tcPr>
          <w:p w:rsidR="00000000" w:rsidRDefault="004F02D2">
            <w:pPr>
              <w:keepNext/>
              <w:widowControl w:val="0"/>
              <w:autoSpaceDE w:val="0"/>
              <w:autoSpaceDN w:val="0"/>
              <w:adjustRightInd w:val="0"/>
              <w:spacing w:before="30" w:after="0" w:line="240" w:lineRule="auto"/>
              <w:ind w:firstLine="3436"/>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Н.П. Лященко </w:t>
            </w:r>
          </w:p>
          <w:p w:rsidR="00000000" w:rsidRDefault="004F02D2">
            <w:pPr>
              <w:keepNext/>
              <w:widowControl w:val="0"/>
              <w:autoSpaceDE w:val="0"/>
              <w:autoSpaceDN w:val="0"/>
              <w:adjustRightInd w:val="0"/>
              <w:spacing w:before="30" w:after="0" w:line="240" w:lineRule="auto"/>
              <w:ind w:firstLine="3436"/>
              <w:rPr>
                <w:rFonts w:ascii="Times New Roman CYR" w:hAnsi="Times New Roman CYR" w:cs="Times New Roman CYR"/>
                <w:b/>
                <w:bCs/>
                <w:sz w:val="28"/>
                <w:szCs w:val="28"/>
                <w:lang w:val="uk-UA"/>
              </w:rPr>
            </w:pPr>
          </w:p>
        </w:tc>
        <w:tc>
          <w:tcPr>
            <w:tcW w:w="4435" w:type="dxa"/>
            <w:tcBorders>
              <w:top w:val="nil"/>
              <w:left w:val="nil"/>
              <w:bottom w:val="nil"/>
              <w:right w:val="nil"/>
            </w:tcBorders>
          </w:tcPr>
          <w:p w:rsidR="00000000" w:rsidRDefault="004F02D2">
            <w:pPr>
              <w:keepNext/>
              <w:widowControl w:val="0"/>
              <w:autoSpaceDE w:val="0"/>
              <w:autoSpaceDN w:val="0"/>
              <w:adjustRightInd w:val="0"/>
              <w:spacing w:before="30" w:after="0" w:line="240" w:lineRule="auto"/>
              <w:rPr>
                <w:rFonts w:ascii="Times New Roman CYR" w:hAnsi="Times New Roman CYR" w:cs="Times New Roman CYR"/>
                <w:b/>
                <w:bCs/>
                <w:sz w:val="28"/>
                <w:szCs w:val="28"/>
                <w:lang w:val="uk-UA"/>
              </w:rPr>
            </w:pPr>
          </w:p>
        </w:tc>
      </w:tr>
    </w:tbl>
    <w:p w:rsidR="00000000" w:rsidRDefault="004F02D2">
      <w:pPr>
        <w:widowControl w:val="0"/>
        <w:autoSpaceDE w:val="0"/>
        <w:autoSpaceDN w:val="0"/>
        <w:adjustRightInd w:val="0"/>
        <w:spacing w:after="0" w:line="240" w:lineRule="auto"/>
        <w:rPr>
          <w:rFonts w:ascii="Times New Roman CYR" w:hAnsi="Times New Roman CYR" w:cs="Times New Roman CYR"/>
          <w:sz w:val="27"/>
          <w:szCs w:val="27"/>
          <w:lang w:val="uk-UA"/>
        </w:rPr>
      </w:pPr>
      <w:r>
        <w:rPr>
          <w:rFonts w:ascii="Times NR Cyr MT" w:hAnsi="Times NR Cyr MT" w:cs="Times NR Cyr MT"/>
          <w:sz w:val="27"/>
          <w:szCs w:val="27"/>
          <w:lang w:val="en-US"/>
        </w:rPr>
        <w:t xml:space="preserve"> </w:t>
      </w:r>
    </w:p>
    <w:p w:rsidR="00000000" w:rsidRDefault="004F02D2">
      <w:pPr>
        <w:widowControl w:val="0"/>
        <w:autoSpaceDE w:val="0"/>
        <w:autoSpaceDN w:val="0"/>
        <w:adjustRightInd w:val="0"/>
        <w:spacing w:after="0" w:line="240" w:lineRule="auto"/>
        <w:rPr>
          <w:rFonts w:ascii="Times New Roman CYR" w:hAnsi="Times New Roman CYR" w:cs="Times New Roman CYR"/>
          <w:sz w:val="27"/>
          <w:szCs w:val="27"/>
          <w:lang w:val="uk-UA"/>
        </w:rPr>
      </w:pPr>
    </w:p>
    <w:p w:rsidR="00000000" w:rsidRDefault="004F02D2">
      <w:pPr>
        <w:widowControl w:val="0"/>
        <w:autoSpaceDE w:val="0"/>
        <w:autoSpaceDN w:val="0"/>
        <w:adjustRightInd w:val="0"/>
        <w:spacing w:after="0" w:line="240" w:lineRule="auto"/>
        <w:rPr>
          <w:rFonts w:ascii="Times New Roman CYR" w:hAnsi="Times New Roman CYR" w:cs="Times New Roman CYR"/>
          <w:sz w:val="27"/>
          <w:szCs w:val="27"/>
          <w:lang w:val="uk-UA"/>
        </w:rPr>
      </w:pPr>
    </w:p>
    <w:p w:rsidR="00000000" w:rsidRDefault="004F02D2">
      <w:pPr>
        <w:widowControl w:val="0"/>
        <w:autoSpaceDE w:val="0"/>
        <w:autoSpaceDN w:val="0"/>
        <w:adjustRightInd w:val="0"/>
        <w:spacing w:after="0" w:line="240" w:lineRule="auto"/>
        <w:ind w:right="-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ПРАВОВА</w:t>
      </w:r>
      <w:r>
        <w:rPr>
          <w:rFonts w:ascii="Times New Roman CYR" w:hAnsi="Times New Roman CYR" w:cs="Times New Roman CYR"/>
          <w:b/>
          <w:bCs/>
          <w:sz w:val="28"/>
          <w:szCs w:val="28"/>
          <w:lang w:val="uk-UA"/>
        </w:rPr>
        <w:t xml:space="preserve"> ПОЗИЦІЯ</w:t>
      </w:r>
    </w:p>
    <w:p w:rsidR="00000000" w:rsidRDefault="004F02D2">
      <w:pPr>
        <w:widowControl w:val="0"/>
        <w:autoSpaceDE w:val="0"/>
        <w:autoSpaceDN w:val="0"/>
        <w:adjustRightInd w:val="0"/>
        <w:spacing w:after="0" w:line="240" w:lineRule="auto"/>
        <w:ind w:right="-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у справі № 6-88цс15</w:t>
      </w:r>
    </w:p>
    <w:p w:rsidR="00000000" w:rsidRDefault="004F02D2">
      <w:pPr>
        <w:widowControl w:val="0"/>
        <w:autoSpaceDE w:val="0"/>
        <w:autoSpaceDN w:val="0"/>
        <w:adjustRightInd w:val="0"/>
        <w:spacing w:after="0" w:line="240" w:lineRule="auto"/>
        <w:rPr>
          <w:rFonts w:ascii="Times New Roman CYR" w:hAnsi="Times New Roman CYR" w:cs="Times New Roman CYR"/>
          <w:sz w:val="20"/>
          <w:szCs w:val="20"/>
          <w:lang w:val="uk-UA"/>
        </w:rPr>
      </w:pPr>
    </w:p>
    <w:p w:rsidR="00000000" w:rsidRDefault="004F02D2">
      <w:pPr>
        <w:widowControl w:val="0"/>
        <w:autoSpaceDE w:val="0"/>
        <w:autoSpaceDN w:val="0"/>
        <w:adjustRightInd w:val="0"/>
        <w:spacing w:after="0" w:line="240" w:lineRule="auto"/>
        <w:rPr>
          <w:rFonts w:ascii="Times New Roman CYR" w:hAnsi="Times New Roman CYR" w:cs="Times New Roman CYR"/>
          <w:sz w:val="20"/>
          <w:szCs w:val="20"/>
          <w:lang w:val="uk-UA"/>
        </w:rPr>
      </w:pPr>
    </w:p>
    <w:p w:rsidR="00000000" w:rsidRDefault="004F02D2">
      <w:pPr>
        <w:widowControl w:val="0"/>
        <w:autoSpaceDE w:val="0"/>
        <w:autoSpaceDN w:val="0"/>
        <w:adjustRightInd w:val="0"/>
        <w:spacing w:after="0" w:line="240" w:lineRule="auto"/>
        <w:rPr>
          <w:rFonts w:ascii="Times New Roman CYR" w:hAnsi="Times New Roman CYR" w:cs="Times New Roman CYR"/>
          <w:sz w:val="20"/>
          <w:szCs w:val="20"/>
          <w:lang w:val="uk-UA"/>
        </w:rPr>
      </w:pPr>
    </w:p>
    <w:p w:rsidR="00000000" w:rsidRDefault="004F02D2">
      <w:pPr>
        <w:widowControl w:val="0"/>
        <w:tabs>
          <w:tab w:val="left" w:pos="1620"/>
        </w:tabs>
        <w:autoSpaceDE w:val="0"/>
        <w:autoSpaceDN w:val="0"/>
        <w:adjustRightInd w:val="0"/>
        <w:spacing w:after="0" w:line="240" w:lineRule="auto"/>
        <w:ind w:firstLine="709"/>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Збільшення без згоди інвестора житлової площі квартири, яка має бути передана інвестору за умовами договору інвестицій не позбавляє зобов’язану сторону договору передати зазначену квартиру інвестору, а інвестора оплатити збі</w:t>
      </w:r>
      <w:r>
        <w:rPr>
          <w:rFonts w:ascii="Times New Roman CYR" w:hAnsi="Times New Roman CYR" w:cs="Times New Roman CYR"/>
          <w:sz w:val="28"/>
          <w:szCs w:val="28"/>
          <w:lang w:val="uk-UA"/>
        </w:rPr>
        <w:t xml:space="preserve">льшену площу на умовах договору, якщо він прийняв виконання договору або вимагає його виконання у судовому порядку. </w:t>
      </w:r>
    </w:p>
    <w:p w:rsidR="004F02D2" w:rsidRDefault="004F02D2">
      <w:pPr>
        <w:widowControl w:val="0"/>
        <w:autoSpaceDE w:val="0"/>
        <w:autoSpaceDN w:val="0"/>
        <w:adjustRightInd w:val="0"/>
        <w:spacing w:after="0" w:line="240" w:lineRule="auto"/>
        <w:rPr>
          <w:rFonts w:ascii="Times New Roman CYR" w:hAnsi="Times New Roman CYR" w:cs="Times New Roman CYR"/>
          <w:sz w:val="27"/>
          <w:szCs w:val="27"/>
          <w:lang w:val="uk-UA"/>
        </w:rPr>
      </w:pPr>
      <w:r>
        <w:rPr>
          <w:rFonts w:ascii="Times New Roman CYR" w:hAnsi="Times New Roman CYR" w:cs="Times New Roman CYR"/>
          <w:sz w:val="27"/>
          <w:szCs w:val="27"/>
          <w:lang w:val="uk-UA"/>
        </w:rPr>
        <w:t xml:space="preserve"> </w:t>
      </w:r>
    </w:p>
    <w:sectPr w:rsidR="004F02D2">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25"/>
    <w:rsid w:val="004F02D2"/>
    <w:rsid w:val="00C47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12298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2015-08-19T07:00:00Z</dcterms:created>
  <dcterms:modified xsi:type="dcterms:W3CDTF">2015-08-19T07:00:00Z</dcterms:modified>
</cp:coreProperties>
</file>