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5" w:type="dxa"/>
        <w:jc w:val="center"/>
        <w:tblCellSpacing w:w="0" w:type="dxa"/>
        <w:tblBorders>
          <w:left w:val="single" w:sz="6" w:space="0" w:color="DFEFFF"/>
          <w:bottom w:val="single" w:sz="6" w:space="0" w:color="DFEFFF"/>
          <w:right w:val="single" w:sz="6" w:space="0" w:color="DFE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0"/>
      </w:tblGrid>
      <w:tr w:rsidR="005B582C" w:rsidRPr="005B582C" w:rsidTr="005B582C">
        <w:trPr>
          <w:trHeight w:val="26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582C" w:rsidRPr="005B582C" w:rsidRDefault="005B582C" w:rsidP="005B58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239000" cy="1704975"/>
                  <wp:effectExtent l="0" t="0" r="0" b="9525"/>
                  <wp:docPr id="3" name="Рисунок 3" descr="http://kmr.ligazakon.ua/l_flib1.nsf/LookupFiles/header.jpg/$file/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header.jpg/$file/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82C" w:rsidRPr="005B582C" w:rsidTr="005B582C">
        <w:trPr>
          <w:tblCellSpacing w:w="0" w:type="dxa"/>
          <w:jc w:val="center"/>
        </w:trPr>
        <w:tc>
          <w:tcPr>
            <w:tcW w:w="0" w:type="auto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5B582C" w:rsidRPr="005B582C" w:rsidRDefault="005B582C" w:rsidP="005B5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0" w:name="24"/>
            <w:bookmarkEnd w:id="0"/>
            <w:r>
              <w:rPr>
                <w:rFonts w:ascii="Arial" w:eastAsia="Times New Roman" w:hAnsi="Arial" w:cs="Arial"/>
                <w:noProof/>
                <w:color w:val="264969"/>
                <w:sz w:val="24"/>
                <w:szCs w:val="24"/>
                <w:lang w:eastAsia="uk-UA"/>
              </w:rPr>
              <w:drawing>
                <wp:inline distT="0" distB="0" distL="0" distR="0">
                  <wp:extent cx="628650" cy="838200"/>
                  <wp:effectExtent l="0" t="0" r="0" b="0"/>
                  <wp:docPr id="2" name="Рисунок 2" descr="http://kmr.ligazakon.ua/l_flib1.nsf/LookupFiles/TSIGN.GIF/$file/T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TSIGN.GIF/$file/T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1" w:name="2"/>
            <w:bookmarkEnd w:id="1"/>
            <w:r w:rsidRPr="005B582C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uk-UA"/>
              </w:rPr>
              <w:t>КИЇВСЬКА МІСЬКА РАДА</w:t>
            </w:r>
            <w:r w:rsidRPr="005B582C">
              <w:rPr>
                <w:rFonts w:ascii="Arial" w:eastAsia="Times New Roman" w:hAnsi="Arial" w:cs="Arial"/>
                <w:b/>
                <w:bCs/>
                <w:color w:val="264969"/>
                <w:sz w:val="27"/>
                <w:szCs w:val="27"/>
                <w:lang w:eastAsia="uk-UA"/>
              </w:rPr>
              <w:br/>
            </w:r>
            <w:r w:rsidRPr="005B582C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uk-UA"/>
              </w:rPr>
              <w:t>X сесія IV скликання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uk-UA"/>
              </w:rPr>
            </w:pPr>
            <w:bookmarkStart w:id="2" w:name="3"/>
            <w:bookmarkEnd w:id="2"/>
            <w:r w:rsidRPr="005B582C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uk-UA"/>
              </w:rPr>
              <w:t>РІШЕННЯ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3" w:name="4"/>
            <w:bookmarkEnd w:id="3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>від 7 липня 2005 року N 585/3161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uk-UA"/>
              </w:rPr>
            </w:pPr>
            <w:bookmarkStart w:id="4" w:name="5"/>
            <w:bookmarkEnd w:id="4"/>
            <w:r w:rsidRPr="005B582C">
              <w:rPr>
                <w:rFonts w:ascii="Arial" w:eastAsia="Times New Roman" w:hAnsi="Arial" w:cs="Arial"/>
                <w:b/>
                <w:bCs/>
                <w:color w:val="264969"/>
                <w:sz w:val="36"/>
                <w:szCs w:val="36"/>
                <w:lang w:eastAsia="uk-UA"/>
              </w:rPr>
              <w:t>Про передачу земельної ділянки товариству з обмеженою відповідальністю "ІНТЕГРАЛІНВЕСТ" для будівництва, експлуатації та обслуговування житлово-офісного комплексу у пров. Машинобудівному, 26 у Солом'янському районі м. Києва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5" w:name="6"/>
            <w:bookmarkEnd w:id="5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>Відповідно до ст. ст. 93, 120, 123, 124 Земельного кодексу України та розглянувши проект відведення земельної ділянки, Київська міська рада </w:t>
            </w:r>
            <w:r w:rsidRPr="005B582C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uk-UA"/>
              </w:rPr>
              <w:t>вирішила</w:t>
            </w:r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>: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6" w:name="7"/>
            <w:bookmarkEnd w:id="6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>1. Затвердити проект відведення земельної ділянки товариству з обмеженою відповідальністю "ІНТЕГРАЛІНВЕСТ" для будівництва, експлуатації та обслуговування житлово-офісного комплексу у пров. Машинобудівному, 26 у Солом'янському районі м. Києва.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7" w:name="8"/>
            <w:bookmarkEnd w:id="7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 xml:space="preserve">2. Передати товариству з обмеженою відповідальністю "ІНТЕГРАЛІНВЕСТ", за умови виконання п. 3 цього рішення, в короткострокову оренду на 5 років земельну ділянку площею 0,38 га для будівництва, експлуатації та обслуговування житлово-офісного комплексу у пров. Машинобудівному, 26 у Солом'янському районі м. Києва за рахунок частини земель, відведених відповідно до рішення виконавчого комітету Київської міської Ради депутатів трудящих від 05.07.49 N 1398 "Про поновлення відводу земельної ділянки заводу 473 під будівництво дитсадку та </w:t>
            </w:r>
            <w:proofErr w:type="spellStart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>дитясел</w:t>
            </w:r>
            <w:proofErr w:type="spellEnd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 xml:space="preserve"> по Гарматній вул. N 6".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8" w:name="9"/>
            <w:bookmarkEnd w:id="8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>3. Товариству з обмеженою відповідальністю "ІНТЕГРАЛІНВЕСТ':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9" w:name="10"/>
            <w:bookmarkEnd w:id="9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 xml:space="preserve">3.1. Виконувати обов'язки землекористувача відповідно до вимог ст. 96 Земельного кодексу </w:t>
            </w:r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lastRenderedPageBreak/>
              <w:t>України.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10" w:name="11"/>
            <w:bookmarkEnd w:id="10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>3.2. У місячний термін звернутися до Головного управління земельних ресурсів виконавчого органу Київради (Київської міської державної адміністрації) із клопотанням щодо організації робіт по винесенню меж земельної ділянки в натуру (на місцевість) та виготовленню документа, що посвідчує право користування земельною ділянкою.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11" w:name="12"/>
            <w:bookmarkEnd w:id="11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>3.3. Забезпечити вільний доступ для прокладання нових, ремонту та експлуатації існуючих інженерних мереж та споруд, розміщених у межах земельної ділянки.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12" w:name="13"/>
            <w:bookmarkEnd w:id="12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 xml:space="preserve">3.4. Питання відшкодування </w:t>
            </w:r>
            <w:proofErr w:type="spellStart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>відновлюючої</w:t>
            </w:r>
            <w:proofErr w:type="spellEnd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 xml:space="preserve"> вартості зелених насаджень (акт обстеження зелених насаджень від 08.09.2004 N 152) та інші питання майнових відносин вирішувати в установленому порядку.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13" w:name="14"/>
            <w:bookmarkEnd w:id="13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 xml:space="preserve">3.5. Виконати вимоги, викладені в листах Головного управління містобудування, архітектури та дизайну міського середовища від 01.02.2005 N 19-581, Державного управління екології та природних ресурсів в м. Києві від 26.10.2004 N 08-8-20/5238, Київської міської </w:t>
            </w:r>
            <w:proofErr w:type="spellStart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>санепідстанції</w:t>
            </w:r>
            <w:proofErr w:type="spellEnd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 xml:space="preserve"> від 16.09.2004 N 6859.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14" w:name="15"/>
            <w:bookmarkEnd w:id="14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>3.6. Питання пайової участі вирішити до початку будівництва відповідно до рішення Київської міської ради від 27.02.2003 N 271/431 "Про пайову участь (внески) інвесторів (забудовників) у створенні соціальної та інженерно-транспортної інфраструктури м. Києва" (із змінами та доповненнями, внесеними рішеннями Київської міської ради від 12.02.2004 N 14/1223 та від 28.12.2004 N 1051/2461).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15" w:name="16"/>
            <w:bookmarkEnd w:id="15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>3.7. Передати Головному управлінню житлового забезпечення виконавчого органу Київради (Київської міської державної адміністрації) 5 % загальної площі комплексу (крім службової) на підставі п. 65 рішення Київської міської ради від 28.12.2004 N 1050/2460 "Про бюджет міста Києва на 2005 рік".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16" w:name="17"/>
            <w:bookmarkEnd w:id="16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>3.8. Відповідно до рішення Київської міської ради від 28.12.2004 N 1050/2460 "Про бюджет міста Києва на 2005 рік" сплатити до цільового фонду спеціального фонду міського бюджету міста Києва у термін не пізніше одного місяця з моменту здачі в експлуатацію забудованої житлової площі кошти в розмірі 5 % витрат з будівництва загальної площі цих житлових будинків, виходячи з опосередкованої вартості спорудження житла, встановленої Державним комітетом України з будівництва та архітектури для міста Києва станом на 1 січня 2005 року.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17" w:name="18"/>
            <w:bookmarkEnd w:id="17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>3.9. Проектом будівництва житлового комплексу передбачити місця постійного зберігання автотранспорту (крім відкритих автостоянок) у кількості, не меншій за кількість квартир у цьому житловому комплексі.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18" w:name="19"/>
            <w:bookmarkEnd w:id="18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>4. Попередити землекористувача, що використання землі не за цільовим призначенням тягне за собою припинення права користування нею відповідно до вимог ст. ст. 141, 143 Земельного кодексу України.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19" w:name="20"/>
            <w:bookmarkEnd w:id="19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5"/>
              <w:gridCol w:w="5445"/>
            </w:tblGrid>
            <w:tr w:rsidR="005B582C" w:rsidRPr="005B582C" w:rsidTr="005B582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B582C" w:rsidRPr="005B582C" w:rsidRDefault="005B582C" w:rsidP="005B58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uk-UA"/>
                    </w:rPr>
                  </w:pPr>
                  <w:bookmarkStart w:id="20" w:name="21"/>
                  <w:bookmarkEnd w:id="20"/>
                  <w:r w:rsidRPr="005B582C">
                    <w:rPr>
                      <w:rFonts w:ascii="Times New Roman" w:eastAsia="Times New Roman" w:hAnsi="Times New Roman" w:cs="Times New Roman"/>
                      <w:b/>
                      <w:bCs/>
                      <w:color w:val="264969"/>
                      <w:sz w:val="24"/>
                      <w:szCs w:val="24"/>
                      <w:lang w:eastAsia="uk-UA"/>
                    </w:rPr>
                    <w:t>Київський міський голова</w:t>
                  </w:r>
                  <w:r w:rsidRPr="005B582C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B582C" w:rsidRPr="005B582C" w:rsidRDefault="005B582C" w:rsidP="005B58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uk-UA"/>
                    </w:rPr>
                  </w:pPr>
                  <w:bookmarkStart w:id="21" w:name="22"/>
                  <w:bookmarkEnd w:id="21"/>
                  <w:r w:rsidRPr="005B582C">
                    <w:rPr>
                      <w:rFonts w:ascii="Times New Roman" w:eastAsia="Times New Roman" w:hAnsi="Times New Roman" w:cs="Times New Roman"/>
                      <w:b/>
                      <w:bCs/>
                      <w:color w:val="264969"/>
                      <w:sz w:val="24"/>
                      <w:szCs w:val="24"/>
                      <w:lang w:eastAsia="uk-UA"/>
                    </w:rPr>
                    <w:t>О. Омельченко</w:t>
                  </w:r>
                  <w:r w:rsidRPr="005B582C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:rsidR="005B582C" w:rsidRPr="005B582C" w:rsidRDefault="005B582C" w:rsidP="005B582C">
            <w:pPr>
              <w:spacing w:after="0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br w:type="textWrapping" w:clear="all"/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</w:pPr>
            <w:bookmarkStart w:id="22" w:name="23"/>
            <w:bookmarkEnd w:id="22"/>
            <w:r w:rsidRPr="005B582C">
              <w:rPr>
                <w:rFonts w:ascii="Arial" w:eastAsia="Times New Roman" w:hAnsi="Arial" w:cs="Arial"/>
                <w:color w:val="264969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5B582C" w:rsidRPr="005B582C" w:rsidTr="005B582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FEFFF"/>
            </w:tcBorders>
            <w:shd w:val="clear" w:color="auto" w:fill="EDF7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5B582C" w:rsidRPr="005B582C" w:rsidRDefault="005B582C" w:rsidP="005B582C">
            <w:pPr>
              <w:spacing w:after="0" w:line="240" w:lineRule="auto"/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4374A2"/>
                <w:sz w:val="15"/>
                <w:szCs w:val="15"/>
                <w:lang w:eastAsia="uk-UA"/>
              </w:rPr>
              <w:lastRenderedPageBreak/>
              <w:drawing>
                <wp:inline distT="0" distB="0" distL="0" distR="0">
                  <wp:extent cx="838200" cy="295275"/>
                  <wp:effectExtent l="0" t="0" r="0" b="9525"/>
                  <wp:docPr id="1" name="Рисунок 1" descr="Rambler's Top1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mbler's Top10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82C" w:rsidRPr="005B582C" w:rsidRDefault="005B582C" w:rsidP="005B582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</w:pPr>
            <w:hyperlink r:id="rId9" w:tgtFrame="_blank" w:history="1">
              <w:proofErr w:type="spellStart"/>
              <w:r w:rsidRPr="005B582C">
                <w:rPr>
                  <w:rFonts w:ascii="Tahoma" w:eastAsia="Times New Roman" w:hAnsi="Tahoma" w:cs="Tahoma"/>
                  <w:color w:val="0000FF"/>
                  <w:sz w:val="15"/>
                  <w:szCs w:val="15"/>
                  <w:u w:val="single"/>
                  <w:lang w:eastAsia="uk-UA"/>
                </w:rPr>
                <w:t>bigmir</w:t>
              </w:r>
              <w:proofErr w:type="spellEnd"/>
              <w:r w:rsidRPr="005B582C">
                <w:rPr>
                  <w:rFonts w:ascii="Tahoma" w:eastAsia="Times New Roman" w:hAnsi="Tahoma" w:cs="Tahoma"/>
                  <w:color w:val="FF0000"/>
                  <w:sz w:val="15"/>
                  <w:szCs w:val="15"/>
                  <w:u w:val="single"/>
                  <w:lang w:eastAsia="uk-UA"/>
                </w:rPr>
                <w:t>)</w:t>
              </w:r>
              <w:proofErr w:type="spellStart"/>
              <w:r w:rsidRPr="005B582C">
                <w:rPr>
                  <w:rFonts w:ascii="Tahoma" w:eastAsia="Times New Roman" w:hAnsi="Tahoma" w:cs="Tahoma"/>
                  <w:color w:val="0000FF"/>
                  <w:sz w:val="15"/>
                  <w:szCs w:val="15"/>
                  <w:u w:val="single"/>
                  <w:lang w:eastAsia="uk-UA"/>
                </w:rPr>
                <w:t>net</w:t>
              </w:r>
              <w:proofErr w:type="spellEnd"/>
            </w:hyperlink>
          </w:p>
          <w:p w:rsidR="005B582C" w:rsidRPr="005B582C" w:rsidRDefault="005B582C" w:rsidP="005B582C">
            <w:pPr>
              <w:spacing w:after="0" w:line="240" w:lineRule="auto"/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</w:pPr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t>© Секретаріат Київської міської Ради, 1970-2016.</w:t>
            </w:r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br/>
              <w:t>© Інформаційно-аналітичний центр "ЛІГА", 1991-2016. </w:t>
            </w:r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br/>
              <w:t>© ТОВ "ЛІГА ЗАКОН", 2007-2016.</w:t>
            </w:r>
          </w:p>
          <w:p w:rsidR="005B582C" w:rsidRPr="005B582C" w:rsidRDefault="005B582C" w:rsidP="005B5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</w:pPr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t>Електронні тексти документів підготовлено Всеукраїнською мережею </w:t>
            </w:r>
            <w:hyperlink r:id="rId10" w:history="1">
              <w:r w:rsidRPr="005B582C">
                <w:rPr>
                  <w:rFonts w:ascii="Arial" w:eastAsia="Times New Roman" w:hAnsi="Arial" w:cs="Arial"/>
                  <w:color w:val="4374A2"/>
                  <w:sz w:val="15"/>
                  <w:szCs w:val="15"/>
                  <w:u w:val="single"/>
                  <w:lang w:eastAsia="uk-UA"/>
                </w:rPr>
                <w:t>ЛІГА:ЗАКОН</w:t>
              </w:r>
            </w:hyperlink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t> у рамках Програми інформаційного співробітництва з Київською міською радою.</w:t>
            </w:r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br/>
              <w:t xml:space="preserve">Всі права на матеріали, розташовані </w:t>
            </w:r>
            <w:proofErr w:type="spellStart"/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t>на </w:t>
            </w:r>
            <w:hyperlink r:id="rId11" w:history="1">
              <w:r w:rsidRPr="005B582C">
                <w:rPr>
                  <w:rFonts w:ascii="Arial" w:eastAsia="Times New Roman" w:hAnsi="Arial" w:cs="Arial"/>
                  <w:color w:val="4374A2"/>
                  <w:sz w:val="15"/>
                  <w:szCs w:val="15"/>
                  <w:u w:val="single"/>
                  <w:lang w:eastAsia="uk-UA"/>
                </w:rPr>
                <w:t>www.ligazakon</w:t>
              </w:r>
              <w:proofErr w:type="spellEnd"/>
              <w:r w:rsidRPr="005B582C">
                <w:rPr>
                  <w:rFonts w:ascii="Arial" w:eastAsia="Times New Roman" w:hAnsi="Arial" w:cs="Arial"/>
                  <w:color w:val="4374A2"/>
                  <w:sz w:val="15"/>
                  <w:szCs w:val="15"/>
                  <w:u w:val="single"/>
                  <w:lang w:eastAsia="uk-UA"/>
                </w:rPr>
                <w:t>.ua</w:t>
              </w:r>
            </w:hyperlink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t xml:space="preserve">, охороняються у відповідності з законодавством України. При використанні або цитуванні будь-яких матеріалів, посилання </w:t>
            </w:r>
            <w:proofErr w:type="spellStart"/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t>на </w:t>
            </w:r>
            <w:hyperlink r:id="rId12" w:history="1">
              <w:r w:rsidRPr="005B582C">
                <w:rPr>
                  <w:rFonts w:ascii="Arial" w:eastAsia="Times New Roman" w:hAnsi="Arial" w:cs="Arial"/>
                  <w:color w:val="4374A2"/>
                  <w:sz w:val="15"/>
                  <w:szCs w:val="15"/>
                  <w:u w:val="single"/>
                  <w:lang w:eastAsia="uk-UA"/>
                </w:rPr>
                <w:t>www.ligazakon.u</w:t>
              </w:r>
              <w:proofErr w:type="spellEnd"/>
              <w:r w:rsidRPr="005B582C">
                <w:rPr>
                  <w:rFonts w:ascii="Arial" w:eastAsia="Times New Roman" w:hAnsi="Arial" w:cs="Arial"/>
                  <w:color w:val="4374A2"/>
                  <w:sz w:val="15"/>
                  <w:szCs w:val="15"/>
                  <w:u w:val="single"/>
                  <w:lang w:eastAsia="uk-UA"/>
                </w:rPr>
                <w:t>a</w:t>
              </w:r>
            </w:hyperlink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t xml:space="preserve"> є обов’язковим. При використанні або цитуванні в </w:t>
            </w:r>
            <w:proofErr w:type="spellStart"/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t>інтернеті</w:t>
            </w:r>
            <w:proofErr w:type="spellEnd"/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t>, гіперпосилання (</w:t>
            </w:r>
            <w:proofErr w:type="spellStart"/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t>hyperlink</w:t>
            </w:r>
            <w:proofErr w:type="spellEnd"/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t xml:space="preserve">) </w:t>
            </w:r>
            <w:proofErr w:type="spellStart"/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t>на </w:t>
            </w:r>
            <w:hyperlink r:id="rId13" w:history="1">
              <w:r w:rsidRPr="005B582C">
                <w:rPr>
                  <w:rFonts w:ascii="Arial" w:eastAsia="Times New Roman" w:hAnsi="Arial" w:cs="Arial"/>
                  <w:color w:val="4374A2"/>
                  <w:sz w:val="15"/>
                  <w:szCs w:val="15"/>
                  <w:u w:val="single"/>
                  <w:lang w:eastAsia="uk-UA"/>
                </w:rPr>
                <w:t>www.ligazakon.u</w:t>
              </w:r>
              <w:proofErr w:type="spellEnd"/>
              <w:r w:rsidRPr="005B582C">
                <w:rPr>
                  <w:rFonts w:ascii="Arial" w:eastAsia="Times New Roman" w:hAnsi="Arial" w:cs="Arial"/>
                  <w:color w:val="4374A2"/>
                  <w:sz w:val="15"/>
                  <w:szCs w:val="15"/>
                  <w:u w:val="single"/>
                  <w:lang w:eastAsia="uk-UA"/>
                </w:rPr>
                <w:t>a</w:t>
              </w:r>
            </w:hyperlink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t xml:space="preserve"> є обов’язковим. </w:t>
            </w:r>
            <w:proofErr w:type="spellStart"/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t>Републікація</w:t>
            </w:r>
            <w:proofErr w:type="spellEnd"/>
            <w:r w:rsidRPr="005B582C">
              <w:rPr>
                <w:rFonts w:ascii="Arial" w:eastAsia="Times New Roman" w:hAnsi="Arial" w:cs="Arial"/>
                <w:color w:val="528DB8"/>
                <w:sz w:val="15"/>
                <w:szCs w:val="15"/>
                <w:lang w:eastAsia="uk-UA"/>
              </w:rPr>
              <w:t xml:space="preserve"> будь-яких матеріалів можлива тільки за письмовою згодою ТОВ «ЛІГА:ЗАКОН».</w:t>
            </w:r>
          </w:p>
        </w:tc>
      </w:tr>
    </w:tbl>
    <w:p w:rsidR="006B150A" w:rsidRDefault="006B150A">
      <w:bookmarkStart w:id="23" w:name="_GoBack"/>
      <w:bookmarkEnd w:id="23"/>
    </w:p>
    <w:sectPr w:rsidR="006B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08"/>
    <w:rsid w:val="00560208"/>
    <w:rsid w:val="005B582C"/>
    <w:rsid w:val="006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5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82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5B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B582C"/>
  </w:style>
  <w:style w:type="character" w:styleId="a4">
    <w:name w:val="Hyperlink"/>
    <w:basedOn w:val="a0"/>
    <w:uiPriority w:val="99"/>
    <w:semiHidden/>
    <w:unhideWhenUsed/>
    <w:rsid w:val="005B58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5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82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5B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B582C"/>
  </w:style>
  <w:style w:type="character" w:styleId="a4">
    <w:name w:val="Hyperlink"/>
    <w:basedOn w:val="a0"/>
    <w:uiPriority w:val="99"/>
    <w:semiHidden/>
    <w:unhideWhenUsed/>
    <w:rsid w:val="005B58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358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ligazakon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p100.rambler.ru/home?id=1632798" TargetMode="External"/><Relationship Id="rId12" Type="http://schemas.openxmlformats.org/officeDocument/2006/relationships/hyperlink" Target="http://www.ligazakon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ligazakon.u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igazako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gmir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3173</Words>
  <Characters>1809</Characters>
  <Application>Microsoft Office Word</Application>
  <DocSecurity>0</DocSecurity>
  <Lines>15</Lines>
  <Paragraphs>9</Paragraphs>
  <ScaleCrop>false</ScaleCrop>
  <Company>1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2016-05-18T08:27:00Z</dcterms:created>
  <dcterms:modified xsi:type="dcterms:W3CDTF">2016-05-18T08:27:00Z</dcterms:modified>
</cp:coreProperties>
</file>