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4" w:rsidRPr="00EB5E34" w:rsidRDefault="00EB5E34" w:rsidP="00EB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285" cy="843280"/>
            <wp:effectExtent l="0" t="0" r="0" b="0"/>
            <wp:docPr id="4" name="Рисунок 4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34" w:rsidRPr="00EB5E34" w:rsidRDefault="00EB5E34" w:rsidP="00EB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EB5E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КИЇВСЬКА МІСЬКА РАДА</w:t>
      </w:r>
      <w:r w:rsidRPr="00EB5E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сесія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VIII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скликання</w:t>
      </w:r>
      <w:proofErr w:type="spellEnd"/>
    </w:p>
    <w:p w:rsidR="00EB5E34" w:rsidRPr="00EB5E34" w:rsidRDefault="00EB5E34" w:rsidP="00EB5E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3"/>
      <w:bookmarkEnd w:id="1"/>
      <w:proofErr w:type="gram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ІШЕННЯ</w:t>
      </w:r>
    </w:p>
    <w:p w:rsidR="00EB5E34" w:rsidRPr="00EB5E34" w:rsidRDefault="00EB5E34" w:rsidP="00EB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proofErr w:type="spellStart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січня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року N 3/6659</w:t>
      </w:r>
    </w:p>
    <w:p w:rsidR="00EB5E34" w:rsidRPr="00EB5E34" w:rsidRDefault="00EB5E34" w:rsidP="00EB5E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5"/>
      <w:bookmarkEnd w:id="3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розірвання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договорів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забудови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об'єктами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житлового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і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</w:t>
      </w:r>
      <w:proofErr w:type="gram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іально-побутового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призначення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ж/м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Осокорки-Центральні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(1, 2, 3, 4, 5, 6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мікрорайони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) у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Дарницькому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районі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Києва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08.09.2005 N 63-6-00282, N 63-6-00286, N 63-6-00285, N 63-6-00284, N 63-6-00283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9, 93, 96, 141 Земельного кодексу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Закону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Закону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розмежування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пункту 34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Закону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11.4, 11.5, 12.2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08.09.2005 N 63-6-00282, N 63-6-00286, N 63-6-00285, N 63-6-00284, N 63-6-00283,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систематично не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8.4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зважаючи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негативне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намі</w:t>
      </w:r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 </w:t>
      </w:r>
      <w:proofErr w:type="spellStart"/>
      <w:r w:rsidRPr="00EB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  <w:bookmarkEnd w:id="5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08.09.2005 N 63-6-00282, N 63-6-00286, N 63-6-00285, N 63-6-00284, N 63-6-00283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90,6379 га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8000000000:96:001:0008),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26,7006 га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8000000000:96:001:0009),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21,8966 га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8000000000:96:001:0010),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15,4479 га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8000000000:96:001:0011),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21,3596 га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8000000000:96:001:0013)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та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14.07.2005 N 774/3349 "Про передачу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іально-побутового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ж/м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Осокорки-Центральні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(1, 2, 3, 4, 5, 6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мікрорайони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Дарницькому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Проінформувати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(код ЄДРПОУ 32962703) про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"/>
      <w:bookmarkEnd w:id="8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Проінформувати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кадастровими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номерами 8000000000:96:001:0008, 8000000000:96:001:0009, 8000000000:96:001:0010, 8000000000:96:001:0011, 8000000000:96:001:0013.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1"/>
      <w:bookmarkEnd w:id="9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(права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ділянок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2"/>
      <w:bookmarkEnd w:id="10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Контактбудсервіс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звільнити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договорах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08.09.2005 N 63-6-00282, N 63-6-00286, N 63-6-00285, N 63-6-00284, N 63-6-00283,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привівши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3"/>
      <w:bookmarkEnd w:id="11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4"/>
      <w:bookmarkEnd w:id="12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EB5E34" w:rsidRPr="00EB5E34" w:rsidTr="00EB5E34">
        <w:trPr>
          <w:tblCellSpacing w:w="22" w:type="dxa"/>
        </w:trPr>
        <w:tc>
          <w:tcPr>
            <w:tcW w:w="2500" w:type="pct"/>
            <w:hideMark/>
          </w:tcPr>
          <w:p w:rsidR="00EB5E34" w:rsidRPr="00EB5E34" w:rsidRDefault="00EB5E34" w:rsidP="00EB5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3" w:name="15"/>
            <w:bookmarkEnd w:id="13"/>
            <w:proofErr w:type="spellStart"/>
            <w:r w:rsidRPr="00EB5E3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EB5E3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E3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EB5E3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hideMark/>
          </w:tcPr>
          <w:p w:rsidR="00EB5E34" w:rsidRPr="00EB5E34" w:rsidRDefault="00EB5E34" w:rsidP="00EB5E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14" w:name="16"/>
            <w:bookmarkEnd w:id="14"/>
            <w:r w:rsidRPr="00EB5E34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В. Кличко</w:t>
            </w:r>
          </w:p>
        </w:tc>
      </w:tr>
    </w:tbl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7"/>
      <w:bookmarkEnd w:id="15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5E34" w:rsidRPr="00EB5E34" w:rsidRDefault="00EB5E34" w:rsidP="00EB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374A2"/>
          <w:sz w:val="24"/>
          <w:szCs w:val="24"/>
          <w:lang w:eastAsia="ru-RU"/>
        </w:rPr>
        <w:drawing>
          <wp:inline distT="0" distB="0" distL="0" distR="0">
            <wp:extent cx="843280" cy="297180"/>
            <wp:effectExtent l="0" t="0" r="0" b="7620"/>
            <wp:docPr id="3" name="Рисунок 3" descr="Rambler's Top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mbler's Top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34" w:rsidRPr="00EB5E34" w:rsidRDefault="00EB5E34" w:rsidP="00EB5E34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proofErr w:type="gramStart"/>
        <w:r w:rsidRPr="00EB5E34"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ru-RU"/>
          </w:rPr>
          <w:t>bigmir</w:t>
        </w:r>
        <w:proofErr w:type="spellEnd"/>
        <w:r w:rsidRPr="00EB5E34">
          <w:rPr>
            <w:rFonts w:ascii="Tahoma" w:eastAsia="Times New Roman" w:hAnsi="Tahoma" w:cs="Tahoma"/>
            <w:color w:val="FF0000"/>
            <w:sz w:val="15"/>
            <w:szCs w:val="15"/>
            <w:u w:val="single"/>
            <w:lang w:eastAsia="ru-RU"/>
          </w:rPr>
          <w:t>)</w:t>
        </w:r>
        <w:proofErr w:type="spellStart"/>
        <w:r w:rsidRPr="00EB5E34">
          <w:rPr>
            <w:rFonts w:ascii="Tahoma" w:eastAsia="Times New Roman" w:hAnsi="Tahoma" w:cs="Tahoma"/>
            <w:color w:val="0000FF"/>
            <w:sz w:val="15"/>
            <w:szCs w:val="15"/>
            <w:u w:val="single"/>
            <w:lang w:eastAsia="ru-RU"/>
          </w:rPr>
          <w:t>net</w:t>
        </w:r>
        <w:proofErr w:type="spellEnd"/>
      </w:hyperlink>
      <w:proofErr w:type="gramEnd"/>
    </w:p>
    <w:p w:rsidR="00EB5E34" w:rsidRPr="00EB5E34" w:rsidRDefault="00EB5E34" w:rsidP="00EB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Секретаріат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</w:t>
      </w:r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ади, 1970-2019.</w:t>
      </w:r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Інформаційно-аналітичний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"ЛІГА", 1991-2019. </w:t>
      </w:r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"ЛІГА ЗАКОН", 2007-2019.</w:t>
      </w:r>
    </w:p>
    <w:p w:rsidR="00EB5E34" w:rsidRPr="00EB5E34" w:rsidRDefault="00EB5E34" w:rsidP="00EB5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ідготовлено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мережею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EB5E34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ЛІГА:ЗАКОН</w:t>
        </w:r>
      </w:hyperlink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рамках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інформаційного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співробітництва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радою.</w:t>
      </w:r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hyperlink r:id="rId10" w:history="1">
        <w:r w:rsidRPr="00EB5E34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охороняються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цитуванні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hyperlink r:id="rId11" w:history="1">
        <w:r w:rsidRPr="00EB5E34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є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цитуванні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гіперпосилання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hyperlink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</w:t>
      </w:r>
      <w:hyperlink r:id="rId12" w:history="1">
        <w:r w:rsidRPr="00EB5E34">
          <w:rPr>
            <w:rFonts w:ascii="Times New Roman" w:eastAsia="Times New Roman" w:hAnsi="Times New Roman" w:cs="Times New Roman"/>
            <w:color w:val="4374A2"/>
            <w:sz w:val="24"/>
            <w:szCs w:val="24"/>
            <w:u w:val="single"/>
            <w:lang w:eastAsia="ru-RU"/>
          </w:rPr>
          <w:t>www.ligazakon.ua</w:t>
        </w:r>
      </w:hyperlink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є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обов’язковим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Републікація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можлива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gramEnd"/>
      <w:r w:rsidRPr="00EB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«ЛІГА:ЗАКОН».</w:t>
      </w:r>
    </w:p>
    <w:p w:rsidR="000C5AB8" w:rsidRPr="00EB5E34" w:rsidRDefault="000C5AB8" w:rsidP="00EB5E34">
      <w:bookmarkStart w:id="16" w:name="_GoBack"/>
      <w:bookmarkEnd w:id="16"/>
    </w:p>
    <w:sectPr w:rsidR="000C5AB8" w:rsidRPr="00E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2"/>
    <w:rsid w:val="000C5AB8"/>
    <w:rsid w:val="00670042"/>
    <w:rsid w:val="006D58BC"/>
    <w:rsid w:val="00E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5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32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409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mir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ligazako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p100.rambler.ru/home?id=1632798" TargetMode="External"/><Relationship Id="rId11" Type="http://schemas.openxmlformats.org/officeDocument/2006/relationships/hyperlink" Target="http://www.ligazakon.ua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ligazakon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zakon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2019-02-15T09:06:00Z</dcterms:created>
  <dcterms:modified xsi:type="dcterms:W3CDTF">2019-02-15T09:06:00Z</dcterms:modified>
</cp:coreProperties>
</file>