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D" w:rsidRPr="0090358D" w:rsidRDefault="0090358D" w:rsidP="009035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8D" w:rsidRPr="0090358D" w:rsidRDefault="0090358D" w:rsidP="009035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90358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90358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>IX сесія VI скликання</w:t>
      </w:r>
    </w:p>
    <w:p w:rsidR="0090358D" w:rsidRPr="0090358D" w:rsidRDefault="0090358D" w:rsidP="009035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90358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90358D" w:rsidRPr="0090358D" w:rsidRDefault="0090358D" w:rsidP="009035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r w:rsidRPr="0090358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 12 липня 2012 року N 820/8157</w:t>
      </w:r>
    </w:p>
    <w:p w:rsidR="0090358D" w:rsidRPr="0090358D" w:rsidRDefault="0090358D" w:rsidP="009035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90358D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 передачу ОБСЛУГОВУЮЧОМУ КООПЕРАТИВУ "ЖИТЛОВО-БУДІВЕЛЬНИЙ КООПЕРАТИВ "НАШ ДОМ" земельної ділянки для житлового будівництва на вул. Борщагівській, 182-в, 200 у Солом'янському районі м. Києва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 технічну документацію із землеустрою щодо складання документа, що посвідчує право користування земельною ділянкою, відповідно до статей 41, 82 Земельного кодексу України Київська міська рада </w:t>
      </w:r>
      <w:r w:rsidRPr="0090358D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1. Передати ОБСЛУГОВУЮЧОМУ КООПЕРАТИВУ "ЖИТЛОВО-БУДІВЕЛЬНИЙ КООПЕРАТИВ "НАШ ДОМ", за умови виконання пункту 2 цього рішення, у власність земельну ділянку загальною площею 1,1528 га для житлового будівництва на вул. Борщагівській, 182-в, 200 у Солом'янському районі м. Києва, у тому числі: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- площею 1,0246 га - за рахунок земель, переданих відповідно до рішення Київської міської ради від 18.11.2004 N 758/2168 "Про передачу відкритому акціонерному товариству "Акціонерна компанія "Київреконструкція" земельної ділянки для будівництва житлового комплексу з вбудовано-прибудованими приміщеннями адміністративно-соціального призначення та підземним паркінґом на вул. Борщагівській, 182-в у Солом'янському районі м. Києва", право користування якими посвідчено договором оренди земельної ділянки від 25.03.2005 N 72-6-00260;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 площею 0,1282 га - за рахунок земель, переданих відповідно до рішення Київської міської ради від 24.11.2005 N 435/2896 "Про передачу відкритому акціонерному товариству "АКЦІОНЕРНА КОМПАНІЯ "КИЇВРЕКОНСТРУКЦІЯ" земельної ділянки для організації інженерного коридора (при будівництві житлового комплексу з вбудовано-прибудованими приміщеннями адміністративно-соціального призначення </w:t>
      </w:r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та підземним паркінгом на вул. Борщагівській, 182-в) на вул. Борщагівській, 200 у Солом'янському районі м. Києва", право користування якими посвідчено договором оренди земельної ділянки від 28.02.2006 N 72-6-00347 (лист-згода від 22.05.2012), у зв'язку з набуттям права на об'єкт незавершеного будівництва житлового комплексу (договір передоручення від 31.05.2012, акт приймання-передачі від 31.05.2010).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 ОБСЛУГОВУЮЧОМУ КООПЕРАТИВУ "ЖИТЛОВО-БУДІВЕЛЬНИЙ КООПЕРАТИВ "НАШ ДОМ":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2.1. Виконувати обов'язки власника земельної ділянки відповідно до статті 91 Земельного кодексу України.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2.2. У місячний термін звернутися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земельної ділянки в натуру (на місцевість) та виготовленню документа, що посвідчує право власності на земельну ділянку.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2.3. Виконати вимоги, викладені у висновку Головного управління земельних ресурсів виконавчого органу Київради (Київської міської державної адміністрації) від 25.06.2012 N 05-8703.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2.5. Питання майнових відносин вирішувати в установленому порядку.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3. Визнати такими, що втратили чинність, рішення Київської міської ради від 18.11.2004 N 758/2168 "Про передачу відкритому акціонерному товариству "Акціонерна компанія "Київреконструкція" земельної ділянки для будівництва житлового комплексу з вбудовано-прибудованими приміщеннями адміністративно-соціального призначення та підземним паркінгом на вул. Борщагівській, 182-в у Солом'янському районі м. Києва" та від 24.11.2005 N 435/2896 "Про передачу відкритому акціонерному товариству "АКЦІОНЕРНА КОМПАНІЯ "КИЇВРЕКОНСТРУКЦІЯ" земельної ділянки для організації інженерного коридора (при будівництві житлового комплексу з вбудовано-прибудованими приміщеннями адміністративно-соціального призначення та підземним паркінґом на вул. Борщагівській, 182-в) на вул. Борщагівській, 200 у Солом'янському районі м. Києва".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Головному управлінню земельних ресурсів виконавчого органу Київради (Київської міської державної адміністрації) зняти з державної реєстрації договори оренди земельних ділянок від 25.03.2005 N 72-6-00260 та від 28.02.2012 N 72-6-00347 з моменту державної реєстрації </w:t>
      </w:r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державного акта на право власності на земельну ділянку ОБСЛУГОВУЮЧОМУ КООПЕРАТИВУ "ЖИТЛОВО-БУДІВЕЛЬНИЙ КООПЕРАТИВ "НАШ ДОМ".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5. Попередити власника земельної ділянки, що право приватної власності на землю може бути припинено у випадках, передбачених статтями 140, 143 Земельного кодексу України.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6. Контроль за виконанням цього рішення покласти на постійну комісію Київради з питань земельних відносин, містобудування та архітектури.</w:t>
      </w:r>
    </w:p>
    <w:p w:rsidR="0090358D" w:rsidRPr="0090358D" w:rsidRDefault="0090358D" w:rsidP="009035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0"/>
      <w:bookmarkEnd w:id="18"/>
      <w:r w:rsidRPr="0090358D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90358D" w:rsidRPr="0090358D" w:rsidTr="0090358D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0358D" w:rsidRPr="0090358D" w:rsidRDefault="0090358D" w:rsidP="009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9" w:name="21"/>
            <w:bookmarkEnd w:id="19"/>
            <w:r w:rsidRPr="0090358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Заступник міського голови -</w:t>
            </w:r>
            <w:r w:rsidRPr="0090358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br/>
              <w:t>секретар Київради</w:t>
            </w:r>
          </w:p>
        </w:tc>
        <w:tc>
          <w:tcPr>
            <w:tcW w:w="2500" w:type="pct"/>
            <w:vAlign w:val="bottom"/>
            <w:hideMark/>
          </w:tcPr>
          <w:p w:rsidR="0090358D" w:rsidRPr="0090358D" w:rsidRDefault="0090358D" w:rsidP="00903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20" w:name="22"/>
            <w:bookmarkEnd w:id="20"/>
            <w:r w:rsidRPr="0090358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Г. Герега</w:t>
            </w:r>
          </w:p>
        </w:tc>
      </w:tr>
    </w:tbl>
    <w:p w:rsidR="00341CC0" w:rsidRDefault="00341CC0">
      <w:bookmarkStart w:id="21" w:name="_GoBack"/>
      <w:bookmarkEnd w:id="21"/>
    </w:p>
    <w:sectPr w:rsidR="003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6"/>
    <w:rsid w:val="000B1396"/>
    <w:rsid w:val="00341CC0"/>
    <w:rsid w:val="009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58D"/>
  </w:style>
  <w:style w:type="paragraph" w:styleId="a4">
    <w:name w:val="Balloon Text"/>
    <w:basedOn w:val="a"/>
    <w:link w:val="a5"/>
    <w:uiPriority w:val="99"/>
    <w:semiHidden/>
    <w:unhideWhenUsed/>
    <w:rsid w:val="0090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58D"/>
  </w:style>
  <w:style w:type="paragraph" w:styleId="a4">
    <w:name w:val="Balloon Text"/>
    <w:basedOn w:val="a"/>
    <w:link w:val="a5"/>
    <w:uiPriority w:val="99"/>
    <w:semiHidden/>
    <w:unhideWhenUsed/>
    <w:rsid w:val="0090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Company>1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2014-05-29T12:53:00Z</dcterms:created>
  <dcterms:modified xsi:type="dcterms:W3CDTF">2014-05-29T12:54:00Z</dcterms:modified>
</cp:coreProperties>
</file>